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433E3BA0"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fldSimple w:instr=" DOCPROPERTY  MtgSeq  \* MERGEFORMAT ">
        <w:r w:rsidRPr="00EB09B7">
          <w:rPr>
            <w:b/>
            <w:noProof/>
            <w:sz w:val="24"/>
          </w:rPr>
          <w:t xml:space="preserve"> </w:t>
        </w:r>
        <w:r>
          <w:rPr>
            <w:b/>
            <w:noProof/>
            <w:sz w:val="24"/>
          </w:rPr>
          <w:t>1</w:t>
        </w:r>
      </w:fldSimple>
      <w:r w:rsidR="006165E1">
        <w:rPr>
          <w:b/>
          <w:noProof/>
          <w:sz w:val="24"/>
        </w:rPr>
        <w:t>1</w:t>
      </w:r>
      <w:r w:rsidR="00D92D67">
        <w:rPr>
          <w:b/>
          <w:noProof/>
          <w:sz w:val="24"/>
        </w:rPr>
        <w:t>2</w:t>
      </w:r>
      <w:r>
        <w:rPr>
          <w:b/>
          <w:i/>
          <w:noProof/>
          <w:sz w:val="28"/>
        </w:rPr>
        <w:tab/>
      </w:r>
      <w:fldSimple w:instr=" DOCPROPERTY  Tdoc#  \* MERGEFORMAT ">
        <w:r>
          <w:rPr>
            <w:b/>
            <w:i/>
            <w:noProof/>
            <w:sz w:val="28"/>
          </w:rPr>
          <w:t>R4-2</w:t>
        </w:r>
      </w:fldSimple>
      <w:r w:rsidR="006165E1">
        <w:rPr>
          <w:b/>
          <w:i/>
          <w:noProof/>
          <w:sz w:val="28"/>
        </w:rPr>
        <w:t>4</w:t>
      </w:r>
      <w:r w:rsidR="00C257F6">
        <w:rPr>
          <w:b/>
          <w:i/>
          <w:noProof/>
          <w:sz w:val="28"/>
        </w:rPr>
        <w:t>12560</w:t>
      </w:r>
      <w:bookmarkStart w:id="0" w:name="_GoBack"/>
      <w:bookmarkEnd w:id="0"/>
    </w:p>
    <w:p w14:paraId="45B6A111" w14:textId="77777777" w:rsidR="00940222" w:rsidRPr="0052514D" w:rsidRDefault="00940222"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Pr>
          <w:rFonts w:cs="Arial" w:hint="eastAsia"/>
          <w:sz w:val="24"/>
          <w:szCs w:val="24"/>
          <w:lang w:eastAsia="zh-CN"/>
        </w:rPr>
        <w:t>,</w:t>
      </w:r>
      <w:r>
        <w:rPr>
          <w:rFonts w:cs="Arial"/>
          <w:sz w:val="24"/>
          <w:szCs w:val="24"/>
          <w:lang w:eastAsia="zh-CN"/>
        </w:rPr>
        <w:t xml:space="preserve"> </w:t>
      </w:r>
      <w:r w:rsidRPr="007761B3">
        <w:rPr>
          <w:rFonts w:cs="Arial"/>
          <w:sz w:val="24"/>
          <w:szCs w:val="24"/>
          <w:lang w:eastAsia="zh-CN"/>
        </w:rPr>
        <w:t>Netherlands</w:t>
      </w:r>
      <w:r>
        <w:rPr>
          <w:rFonts w:cs="Arial"/>
          <w:sz w:val="24"/>
          <w:szCs w:val="24"/>
          <w:lang w:eastAsia="zh-CN"/>
        </w:rPr>
        <w:t>, 19</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23</w:t>
      </w:r>
      <w:r>
        <w:rPr>
          <w:rFonts w:cs="Arial"/>
          <w:sz w:val="24"/>
          <w:szCs w:val="24"/>
          <w:vertAlign w:val="superscript"/>
          <w:lang w:eastAsia="zh-CN"/>
        </w:rPr>
        <w:t>rd</w:t>
      </w:r>
      <w:r>
        <w:rPr>
          <w:rFonts w:cs="Arial"/>
          <w:sz w:val="24"/>
          <w:szCs w:val="24"/>
          <w:lang w:eastAsia="zh-CN"/>
        </w:rPr>
        <w:t xml:space="preserve"> August</w:t>
      </w:r>
      <w:r w:rsidRPr="0052514D">
        <w:rPr>
          <w:rFonts w:cs="Arial"/>
          <w:sz w:val="24"/>
          <w:szCs w:val="24"/>
          <w:lang w:eastAsia="zh-CN"/>
        </w:rPr>
        <w:t>, 2024</w:t>
      </w:r>
    </w:p>
    <w:p w14:paraId="508E45E5" w14:textId="77777777" w:rsidR="00A01ADF" w:rsidRPr="00940222" w:rsidRDefault="00A01ADF" w:rsidP="00A01ADF">
      <w:pPr>
        <w:spacing w:after="120"/>
        <w:ind w:left="1985" w:hanging="1985"/>
        <w:rPr>
          <w:rFonts w:ascii="Arial" w:eastAsia="MS Mincho" w:hAnsi="Arial" w:cs="Arial"/>
          <w:b/>
          <w:sz w:val="22"/>
        </w:rPr>
      </w:pPr>
    </w:p>
    <w:p w14:paraId="3F5FBE55" w14:textId="4EF8FC8E"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 xml:space="preserve">iscussion on </w:t>
      </w:r>
      <w:r w:rsidR="00076746">
        <w:rPr>
          <w:rFonts w:ascii="Arial" w:hAnsi="Arial" w:cs="Arial"/>
          <w:b/>
          <w:sz w:val="22"/>
          <w:szCs w:val="22"/>
        </w:rPr>
        <w:t>Ku-band co-ex studies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5C0286BF"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Pr>
          <w:rFonts w:ascii="Arial" w:hAnsi="Arial" w:cs="Arial"/>
          <w:b/>
          <w:sz w:val="22"/>
          <w:szCs w:val="22"/>
        </w:rPr>
        <w:t>8.</w:t>
      </w:r>
      <w:r w:rsidR="00076746">
        <w:rPr>
          <w:rFonts w:ascii="Arial" w:hAnsi="Arial" w:cs="Arial"/>
          <w:b/>
          <w:sz w:val="22"/>
          <w:szCs w:val="22"/>
        </w:rPr>
        <w:t>9.2</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192EE95" w14:textId="43692F08" w:rsidR="00412E23" w:rsidRDefault="00076746" w:rsidP="008B2E9F">
      <w:r>
        <w:t>In the RAN#104</w:t>
      </w:r>
      <w:r w:rsidR="002D7346" w:rsidRPr="00D54226">
        <w:t xml:space="preserve"> meeting, a </w:t>
      </w:r>
      <w:r w:rsidR="002D7346">
        <w:rPr>
          <w:rFonts w:hint="eastAsia"/>
          <w:lang w:eastAsia="ja-JP"/>
        </w:rPr>
        <w:t>n</w:t>
      </w:r>
      <w:r w:rsidR="002D7346">
        <w:t>ew WID on</w:t>
      </w:r>
      <w:r w:rsidR="002D7346">
        <w:rPr>
          <w:lang w:val="en-US" w:eastAsia="fi-FI"/>
        </w:rPr>
        <w:t xml:space="preserve"> </w:t>
      </w:r>
      <w:r>
        <w:rPr>
          <w:bCs/>
        </w:rPr>
        <w:t>Introduction of Ku Band for NR-NTN</w:t>
      </w:r>
      <w:r w:rsidR="002D7346" w:rsidRPr="00D54226">
        <w:t xml:space="preserve"> was appr</w:t>
      </w:r>
      <w:r w:rsidR="002D7346" w:rsidRPr="008D5C39">
        <w:t>oved [</w:t>
      </w:r>
      <w:r w:rsidR="002D7346" w:rsidRPr="008D5C39">
        <w:rPr>
          <w:rFonts w:hint="eastAsia"/>
        </w:rPr>
        <w:t>1</w:t>
      </w:r>
      <w:r w:rsidR="002D7346" w:rsidRPr="008D5C39">
        <w:t>]</w:t>
      </w:r>
      <w:r>
        <w:t>, and in which the objectives</w:t>
      </w:r>
      <w:r w:rsidR="002D7346">
        <w:t xml:space="preserve"> </w:t>
      </w:r>
      <w:r w:rsidR="00B37695">
        <w:t xml:space="preserve">include to </w:t>
      </w:r>
      <w:r>
        <w:t>conduct coexistence studies as shown below</w:t>
      </w:r>
      <w:r w:rsidR="00412E23">
        <w:t>:</w:t>
      </w:r>
    </w:p>
    <w:tbl>
      <w:tblPr>
        <w:tblStyle w:val="a5"/>
        <w:tblW w:w="0" w:type="auto"/>
        <w:tblLook w:val="04A0" w:firstRow="1" w:lastRow="0" w:firstColumn="1" w:lastColumn="0" w:noHBand="0" w:noVBand="1"/>
      </w:tblPr>
      <w:tblGrid>
        <w:gridCol w:w="9629"/>
      </w:tblGrid>
      <w:tr w:rsidR="00412E23" w14:paraId="782B00C7" w14:textId="77777777" w:rsidTr="00412E23">
        <w:tc>
          <w:tcPr>
            <w:tcW w:w="9629" w:type="dxa"/>
          </w:tcPr>
          <w:p w14:paraId="255AE457" w14:textId="77777777" w:rsidR="008B2E9F" w:rsidRPr="00AA6403" w:rsidRDefault="008B2E9F" w:rsidP="008B2E9F">
            <w:pPr>
              <w:spacing w:after="0"/>
              <w:rPr>
                <w:bCs/>
              </w:rPr>
            </w:pPr>
            <w:r w:rsidRPr="00AA6403">
              <w:rPr>
                <w:bCs/>
              </w:rPr>
              <w:t>The following assumptions are taken a</w:t>
            </w:r>
            <w:r>
              <w:rPr>
                <w:bCs/>
              </w:rPr>
              <w:t>s the</w:t>
            </w:r>
            <w:r w:rsidRPr="00AA6403">
              <w:rPr>
                <w:bCs/>
              </w:rPr>
              <w:t xml:space="preserve"> baseline for this work:</w:t>
            </w:r>
          </w:p>
          <w:p w14:paraId="2AF69641" w14:textId="77777777" w:rsidR="008B2E9F" w:rsidRPr="00AA6403" w:rsidRDefault="008B2E9F" w:rsidP="008B2E9F">
            <w:pPr>
              <w:numPr>
                <w:ilvl w:val="0"/>
                <w:numId w:val="37"/>
              </w:numPr>
              <w:overflowPunct w:val="0"/>
              <w:autoSpaceDE w:val="0"/>
              <w:autoSpaceDN w:val="0"/>
              <w:adjustRightInd w:val="0"/>
              <w:spacing w:after="0"/>
              <w:jc w:val="both"/>
              <w:textAlignment w:val="baseline"/>
              <w:rPr>
                <w:bCs/>
              </w:rPr>
            </w:pPr>
            <w:r w:rsidRPr="00AA6403">
              <w:rPr>
                <w:bCs/>
              </w:rPr>
              <w:t>GSO and NGSO</w:t>
            </w:r>
          </w:p>
          <w:p w14:paraId="50EEFB60" w14:textId="77777777" w:rsidR="008B2E9F" w:rsidRDefault="008B2E9F" w:rsidP="008B2E9F">
            <w:pPr>
              <w:numPr>
                <w:ilvl w:val="0"/>
                <w:numId w:val="37"/>
              </w:numPr>
              <w:overflowPunct w:val="0"/>
              <w:autoSpaceDE w:val="0"/>
              <w:autoSpaceDN w:val="0"/>
              <w:adjustRightInd w:val="0"/>
              <w:spacing w:after="0"/>
              <w:jc w:val="both"/>
              <w:textAlignment w:val="baseline"/>
              <w:rPr>
                <w:bCs/>
              </w:rPr>
            </w:pPr>
            <w:r>
              <w:rPr>
                <w:bCs/>
              </w:rPr>
              <w:t xml:space="preserve">NTN capable UE type 1 to 5 (38.101-5 </w:t>
            </w:r>
            <w:r w:rsidRPr="00F72AF1">
              <w:t>Table 9.2.1.0-1</w:t>
            </w:r>
            <w:r>
              <w:t xml:space="preserve">) </w:t>
            </w:r>
            <w:r>
              <w:rPr>
                <w:bCs/>
              </w:rPr>
              <w:t>for above 10 GHz (no handheld devices)</w:t>
            </w:r>
          </w:p>
          <w:p w14:paraId="7B2E81D1" w14:textId="77777777" w:rsidR="008B2E9F" w:rsidRPr="00AA6403" w:rsidRDefault="008B2E9F" w:rsidP="008B2E9F">
            <w:pPr>
              <w:numPr>
                <w:ilvl w:val="0"/>
                <w:numId w:val="37"/>
              </w:numPr>
              <w:overflowPunct w:val="0"/>
              <w:autoSpaceDE w:val="0"/>
              <w:autoSpaceDN w:val="0"/>
              <w:adjustRightInd w:val="0"/>
              <w:spacing w:after="0"/>
              <w:jc w:val="both"/>
              <w:textAlignment w:val="baseline"/>
              <w:rPr>
                <w:bCs/>
              </w:rPr>
            </w:pPr>
            <w:r w:rsidRPr="00AA6403">
              <w:rPr>
                <w:bCs/>
              </w:rPr>
              <w:t xml:space="preserve">FDD Mode </w:t>
            </w:r>
          </w:p>
          <w:p w14:paraId="42371700" w14:textId="77777777" w:rsidR="008B2E9F" w:rsidRDefault="008B2E9F" w:rsidP="008B2E9F">
            <w:pPr>
              <w:numPr>
                <w:ilvl w:val="0"/>
                <w:numId w:val="37"/>
              </w:numPr>
              <w:overflowPunct w:val="0"/>
              <w:autoSpaceDE w:val="0"/>
              <w:autoSpaceDN w:val="0"/>
              <w:adjustRightInd w:val="0"/>
              <w:spacing w:after="0"/>
              <w:jc w:val="both"/>
              <w:textAlignment w:val="baseline"/>
              <w:rPr>
                <w:bCs/>
              </w:rPr>
            </w:pPr>
            <w:r w:rsidRPr="00AA6403">
              <w:rPr>
                <w:bCs/>
              </w:rPr>
              <w:t xml:space="preserve">GNSS Receiver capability </w:t>
            </w:r>
          </w:p>
          <w:p w14:paraId="567A4060" w14:textId="77777777" w:rsidR="008B2E9F" w:rsidRPr="00AA6403" w:rsidRDefault="008B2E9F" w:rsidP="008B2E9F">
            <w:pPr>
              <w:spacing w:after="0"/>
              <w:ind w:left="720"/>
              <w:rPr>
                <w:bCs/>
                <w:color w:val="FF0000"/>
              </w:rPr>
            </w:pPr>
          </w:p>
          <w:p w14:paraId="2B0499DD" w14:textId="77777777" w:rsidR="008B2E9F" w:rsidRDefault="008B2E9F" w:rsidP="008B2E9F">
            <w:pPr>
              <w:rPr>
                <w:bCs/>
              </w:rPr>
            </w:pPr>
            <w:r w:rsidRPr="00F6032E">
              <w:rPr>
                <w:iCs/>
              </w:rPr>
              <w:t xml:space="preserve">The objectives </w:t>
            </w:r>
            <w:r>
              <w:rPr>
                <w:iCs/>
              </w:rPr>
              <w:t>are</w:t>
            </w:r>
            <w:r w:rsidRPr="00F6032E">
              <w:rPr>
                <w:iCs/>
              </w:rPr>
              <w:t>:</w:t>
            </w:r>
          </w:p>
          <w:p w14:paraId="6A8F77D8" w14:textId="77777777" w:rsidR="008B2E9F" w:rsidRDefault="008B2E9F" w:rsidP="008B2E9F">
            <w:pPr>
              <w:numPr>
                <w:ilvl w:val="0"/>
                <w:numId w:val="38"/>
              </w:numPr>
              <w:overflowPunct w:val="0"/>
              <w:autoSpaceDE w:val="0"/>
              <w:autoSpaceDN w:val="0"/>
              <w:adjustRightInd w:val="0"/>
              <w:spacing w:after="0"/>
              <w:jc w:val="both"/>
              <w:textAlignment w:val="baseline"/>
              <w:rPr>
                <w:bCs/>
              </w:rPr>
            </w:pPr>
            <w:r w:rsidRPr="00F6032E">
              <w:rPr>
                <w:bCs/>
              </w:rPr>
              <w:t xml:space="preserve">Use the regulation requirements in ITU Regions 1, 2 and 3 to identify relevant adjacent band co-existence scenarios for NTN Ku Band covering the following frequency ranges, </w:t>
            </w:r>
            <w:r>
              <w:rPr>
                <w:bCs/>
              </w:rPr>
              <w:t>considering</w:t>
            </w:r>
            <w:r w:rsidRPr="00F6032E">
              <w:rPr>
                <w:bCs/>
              </w:rPr>
              <w:t xml:space="preserve"> targeted deployment scenarios:</w:t>
            </w:r>
          </w:p>
          <w:p w14:paraId="1CF57B07" w14:textId="77777777" w:rsidR="008B2E9F" w:rsidRPr="00F6032E" w:rsidRDefault="008B2E9F" w:rsidP="008B2E9F">
            <w:pPr>
              <w:numPr>
                <w:ilvl w:val="1"/>
                <w:numId w:val="38"/>
              </w:numPr>
              <w:overflowPunct w:val="0"/>
              <w:autoSpaceDE w:val="0"/>
              <w:autoSpaceDN w:val="0"/>
              <w:adjustRightInd w:val="0"/>
              <w:spacing w:after="0"/>
              <w:jc w:val="both"/>
              <w:textAlignment w:val="baseline"/>
              <w:rPr>
                <w:bCs/>
              </w:rPr>
            </w:pPr>
            <w:r>
              <w:rPr>
                <w:bCs/>
              </w:rPr>
              <w:t>For ITU regions 1 and 3:</w:t>
            </w:r>
          </w:p>
          <w:p w14:paraId="107D820E" w14:textId="77777777" w:rsidR="008B2E9F" w:rsidRPr="00F6032E" w:rsidRDefault="008B2E9F" w:rsidP="008B2E9F">
            <w:pPr>
              <w:numPr>
                <w:ilvl w:val="2"/>
                <w:numId w:val="38"/>
              </w:numPr>
              <w:overflowPunct w:val="0"/>
              <w:autoSpaceDE w:val="0"/>
              <w:autoSpaceDN w:val="0"/>
              <w:adjustRightInd w:val="0"/>
              <w:spacing w:after="0"/>
              <w:jc w:val="both"/>
              <w:textAlignment w:val="baseline"/>
              <w:rPr>
                <w:bCs/>
              </w:rPr>
            </w:pPr>
            <w:r w:rsidRPr="00F6032E">
              <w:rPr>
                <w:bCs/>
              </w:rPr>
              <w:t>Downlink 10.70 – 12.75 GHz</w:t>
            </w:r>
          </w:p>
          <w:p w14:paraId="39F303A4" w14:textId="77777777" w:rsidR="008B2E9F" w:rsidRDefault="008B2E9F" w:rsidP="008B2E9F">
            <w:pPr>
              <w:numPr>
                <w:ilvl w:val="2"/>
                <w:numId w:val="38"/>
              </w:numPr>
              <w:overflowPunct w:val="0"/>
              <w:autoSpaceDE w:val="0"/>
              <w:autoSpaceDN w:val="0"/>
              <w:adjustRightInd w:val="0"/>
              <w:spacing w:after="0"/>
              <w:jc w:val="both"/>
              <w:textAlignment w:val="baseline"/>
              <w:rPr>
                <w:bCs/>
              </w:rPr>
            </w:pPr>
            <w:r w:rsidRPr="00F6032E">
              <w:rPr>
                <w:bCs/>
              </w:rPr>
              <w:t>Uplink 13.75-14.5 GHz</w:t>
            </w:r>
          </w:p>
          <w:p w14:paraId="3ADF7907" w14:textId="77777777" w:rsidR="008B2E9F" w:rsidRPr="00F6032E" w:rsidRDefault="008B2E9F" w:rsidP="008B2E9F">
            <w:pPr>
              <w:numPr>
                <w:ilvl w:val="1"/>
                <w:numId w:val="38"/>
              </w:numPr>
              <w:overflowPunct w:val="0"/>
              <w:autoSpaceDE w:val="0"/>
              <w:autoSpaceDN w:val="0"/>
              <w:adjustRightInd w:val="0"/>
              <w:spacing w:after="0"/>
              <w:jc w:val="both"/>
              <w:textAlignment w:val="baseline"/>
              <w:rPr>
                <w:bCs/>
              </w:rPr>
            </w:pPr>
            <w:r>
              <w:rPr>
                <w:bCs/>
              </w:rPr>
              <w:t>For ITU regions 2 excluding US:</w:t>
            </w:r>
          </w:p>
          <w:p w14:paraId="2A32E234" w14:textId="77777777" w:rsidR="008B2E9F" w:rsidRPr="00F6032E" w:rsidRDefault="008B2E9F" w:rsidP="008B2E9F">
            <w:pPr>
              <w:numPr>
                <w:ilvl w:val="2"/>
                <w:numId w:val="38"/>
              </w:numPr>
              <w:overflowPunct w:val="0"/>
              <w:autoSpaceDE w:val="0"/>
              <w:autoSpaceDN w:val="0"/>
              <w:adjustRightInd w:val="0"/>
              <w:spacing w:after="0"/>
              <w:jc w:val="both"/>
              <w:textAlignment w:val="baseline"/>
              <w:rPr>
                <w:bCs/>
              </w:rPr>
            </w:pPr>
            <w:r w:rsidRPr="00F6032E">
              <w:rPr>
                <w:bCs/>
              </w:rPr>
              <w:t>Downlink 10.70 – 12.7</w:t>
            </w:r>
            <w:r>
              <w:rPr>
                <w:bCs/>
              </w:rPr>
              <w:t>0</w:t>
            </w:r>
            <w:r w:rsidRPr="00F6032E">
              <w:rPr>
                <w:bCs/>
              </w:rPr>
              <w:t xml:space="preserve"> GHz</w:t>
            </w:r>
          </w:p>
          <w:p w14:paraId="7D1CA480" w14:textId="77777777" w:rsidR="008B2E9F" w:rsidRPr="004E545F" w:rsidRDefault="008B2E9F" w:rsidP="008B2E9F">
            <w:pPr>
              <w:numPr>
                <w:ilvl w:val="2"/>
                <w:numId w:val="38"/>
              </w:numPr>
              <w:overflowPunct w:val="0"/>
              <w:autoSpaceDE w:val="0"/>
              <w:autoSpaceDN w:val="0"/>
              <w:adjustRightInd w:val="0"/>
              <w:spacing w:after="0"/>
              <w:jc w:val="both"/>
              <w:textAlignment w:val="baseline"/>
              <w:rPr>
                <w:bCs/>
              </w:rPr>
            </w:pPr>
            <w:r w:rsidRPr="00F6032E">
              <w:rPr>
                <w:bCs/>
              </w:rPr>
              <w:t>Uplink 13.75-14.5 GHz</w:t>
            </w:r>
          </w:p>
          <w:p w14:paraId="4EDFCADE" w14:textId="77777777" w:rsidR="008B2E9F" w:rsidRDefault="008B2E9F" w:rsidP="008B2E9F">
            <w:pPr>
              <w:numPr>
                <w:ilvl w:val="1"/>
                <w:numId w:val="38"/>
              </w:numPr>
              <w:overflowPunct w:val="0"/>
              <w:autoSpaceDE w:val="0"/>
              <w:autoSpaceDN w:val="0"/>
              <w:adjustRightInd w:val="0"/>
              <w:spacing w:after="0"/>
              <w:jc w:val="both"/>
              <w:textAlignment w:val="baseline"/>
              <w:rPr>
                <w:bCs/>
              </w:rPr>
            </w:pPr>
            <w:r>
              <w:rPr>
                <w:bCs/>
              </w:rPr>
              <w:t>For ITU regions 1 and 3</w:t>
            </w:r>
          </w:p>
          <w:p w14:paraId="7A7696F6" w14:textId="77777777" w:rsidR="008B2E9F" w:rsidRPr="00F6032E" w:rsidRDefault="008B2E9F" w:rsidP="008B2E9F">
            <w:pPr>
              <w:numPr>
                <w:ilvl w:val="2"/>
                <w:numId w:val="38"/>
              </w:numPr>
              <w:overflowPunct w:val="0"/>
              <w:autoSpaceDE w:val="0"/>
              <w:autoSpaceDN w:val="0"/>
              <w:adjustRightInd w:val="0"/>
              <w:spacing w:after="0"/>
              <w:jc w:val="both"/>
              <w:textAlignment w:val="baseline"/>
              <w:rPr>
                <w:bCs/>
              </w:rPr>
            </w:pPr>
            <w:r w:rsidRPr="00F6032E">
              <w:rPr>
                <w:bCs/>
              </w:rPr>
              <w:t>Downlink 10.70 – 12.75 GHz</w:t>
            </w:r>
          </w:p>
          <w:p w14:paraId="328A6649" w14:textId="77777777" w:rsidR="008B2E9F" w:rsidRDefault="008B2E9F" w:rsidP="008B2E9F">
            <w:pPr>
              <w:numPr>
                <w:ilvl w:val="2"/>
                <w:numId w:val="38"/>
              </w:numPr>
              <w:overflowPunct w:val="0"/>
              <w:autoSpaceDE w:val="0"/>
              <w:autoSpaceDN w:val="0"/>
              <w:adjustRightInd w:val="0"/>
              <w:spacing w:after="0"/>
              <w:jc w:val="both"/>
              <w:textAlignment w:val="baseline"/>
              <w:rPr>
                <w:bCs/>
              </w:rPr>
            </w:pPr>
            <w:r w:rsidRPr="00F6032E">
              <w:rPr>
                <w:bCs/>
              </w:rPr>
              <w:t xml:space="preserve">Uplink </w:t>
            </w:r>
            <w:r>
              <w:rPr>
                <w:bCs/>
              </w:rPr>
              <w:t>12.75 - 13.25 GHz</w:t>
            </w:r>
          </w:p>
          <w:p w14:paraId="0282CF5F" w14:textId="77777777" w:rsidR="008B2E9F" w:rsidRDefault="008B2E9F" w:rsidP="008B2E9F">
            <w:pPr>
              <w:numPr>
                <w:ilvl w:val="1"/>
                <w:numId w:val="38"/>
              </w:numPr>
              <w:overflowPunct w:val="0"/>
              <w:autoSpaceDE w:val="0"/>
              <w:autoSpaceDN w:val="0"/>
              <w:adjustRightInd w:val="0"/>
              <w:spacing w:after="0"/>
              <w:jc w:val="both"/>
              <w:textAlignment w:val="baseline"/>
              <w:rPr>
                <w:bCs/>
              </w:rPr>
            </w:pPr>
            <w:r>
              <w:rPr>
                <w:bCs/>
              </w:rPr>
              <w:t>For ITU regions 2 excluding US</w:t>
            </w:r>
          </w:p>
          <w:p w14:paraId="6F5A229C" w14:textId="77777777" w:rsidR="008B2E9F" w:rsidRPr="00F6032E" w:rsidRDefault="008B2E9F" w:rsidP="008B2E9F">
            <w:pPr>
              <w:numPr>
                <w:ilvl w:val="2"/>
                <w:numId w:val="38"/>
              </w:numPr>
              <w:overflowPunct w:val="0"/>
              <w:autoSpaceDE w:val="0"/>
              <w:autoSpaceDN w:val="0"/>
              <w:adjustRightInd w:val="0"/>
              <w:spacing w:after="0"/>
              <w:jc w:val="both"/>
              <w:textAlignment w:val="baseline"/>
              <w:rPr>
                <w:bCs/>
              </w:rPr>
            </w:pPr>
            <w:r w:rsidRPr="00F6032E">
              <w:rPr>
                <w:bCs/>
              </w:rPr>
              <w:t>Downlink 10.70 – 12.7</w:t>
            </w:r>
            <w:r>
              <w:rPr>
                <w:bCs/>
              </w:rPr>
              <w:t>0</w:t>
            </w:r>
            <w:r w:rsidRPr="00F6032E">
              <w:rPr>
                <w:bCs/>
              </w:rPr>
              <w:t xml:space="preserve"> GHz</w:t>
            </w:r>
          </w:p>
          <w:p w14:paraId="6FEEB63A" w14:textId="77777777" w:rsidR="008B2E9F" w:rsidRPr="007E2506" w:rsidRDefault="008B2E9F" w:rsidP="008B2E9F">
            <w:pPr>
              <w:numPr>
                <w:ilvl w:val="2"/>
                <w:numId w:val="38"/>
              </w:numPr>
              <w:overflowPunct w:val="0"/>
              <w:autoSpaceDE w:val="0"/>
              <w:autoSpaceDN w:val="0"/>
              <w:adjustRightInd w:val="0"/>
              <w:spacing w:after="0"/>
              <w:jc w:val="both"/>
              <w:textAlignment w:val="baseline"/>
              <w:rPr>
                <w:bCs/>
              </w:rPr>
            </w:pPr>
            <w:r w:rsidRPr="007E2506">
              <w:rPr>
                <w:bCs/>
              </w:rPr>
              <w:t>Uplink 12.7</w:t>
            </w:r>
            <w:r>
              <w:rPr>
                <w:bCs/>
              </w:rPr>
              <w:t>0</w:t>
            </w:r>
            <w:r w:rsidRPr="007E2506">
              <w:rPr>
                <w:bCs/>
              </w:rPr>
              <w:t xml:space="preserve"> - 13.25 GHz</w:t>
            </w:r>
          </w:p>
          <w:p w14:paraId="33D1D412" w14:textId="77777777" w:rsidR="008B2E9F" w:rsidRPr="009C640E" w:rsidRDefault="008B2E9F" w:rsidP="008B2E9F">
            <w:pPr>
              <w:numPr>
                <w:ilvl w:val="1"/>
                <w:numId w:val="38"/>
              </w:numPr>
              <w:overflowPunct w:val="0"/>
              <w:autoSpaceDE w:val="0"/>
              <w:autoSpaceDN w:val="0"/>
              <w:adjustRightInd w:val="0"/>
              <w:spacing w:after="0"/>
              <w:jc w:val="both"/>
              <w:textAlignment w:val="baseline"/>
              <w:rPr>
                <w:bCs/>
              </w:rPr>
            </w:pPr>
            <w:r>
              <w:rPr>
                <w:bCs/>
              </w:rPr>
              <w:t>Note: Appropriate TX/Rx separation for uplink downlink pairing will be required.</w:t>
            </w:r>
          </w:p>
          <w:p w14:paraId="13C179E7" w14:textId="77777777" w:rsidR="008B2E9F" w:rsidRDefault="008B2E9F" w:rsidP="008B2E9F">
            <w:pPr>
              <w:numPr>
                <w:ilvl w:val="0"/>
                <w:numId w:val="38"/>
              </w:numPr>
              <w:overflowPunct w:val="0"/>
              <w:autoSpaceDE w:val="0"/>
              <w:autoSpaceDN w:val="0"/>
              <w:adjustRightInd w:val="0"/>
              <w:spacing w:after="0"/>
              <w:jc w:val="both"/>
              <w:textAlignment w:val="baseline"/>
              <w:rPr>
                <w:bCs/>
              </w:rPr>
            </w:pPr>
            <w:r>
              <w:rPr>
                <w:bCs/>
              </w:rPr>
              <w:t xml:space="preserve">Conduct coexistence study. </w:t>
            </w:r>
            <w:r w:rsidRPr="001232DC">
              <w:rPr>
                <w:bCs/>
              </w:rPr>
              <w:t xml:space="preserve">Reuse Ka band coexistence study </w:t>
            </w:r>
            <w:r>
              <w:rPr>
                <w:bCs/>
              </w:rPr>
              <w:t xml:space="preserve">assumptions as much as possible, </w:t>
            </w:r>
            <w:r w:rsidRPr="001232DC">
              <w:rPr>
                <w:bCs/>
              </w:rPr>
              <w:t xml:space="preserve">with </w:t>
            </w:r>
            <w:r>
              <w:rPr>
                <w:bCs/>
              </w:rPr>
              <w:t>modifications where necessary, e.g.</w:t>
            </w:r>
            <w:r w:rsidRPr="001232DC">
              <w:rPr>
                <w:bCs/>
              </w:rPr>
              <w:t xml:space="preserve"> for frequency range</w:t>
            </w:r>
            <w:r>
              <w:rPr>
                <w:bCs/>
              </w:rPr>
              <w:t xml:space="preserve"> and subcarrier spacing</w:t>
            </w:r>
            <w:r w:rsidRPr="001232DC">
              <w:rPr>
                <w:bCs/>
              </w:rPr>
              <w:t xml:space="preserve">. </w:t>
            </w:r>
            <w:r>
              <w:rPr>
                <w:bCs/>
              </w:rPr>
              <w:t>Conduct new co-existence studies based on adjacent services .</w:t>
            </w:r>
          </w:p>
          <w:p w14:paraId="006E51B6" w14:textId="77777777" w:rsidR="008B2E9F" w:rsidRPr="00401F7A" w:rsidRDefault="008B2E9F" w:rsidP="008B2E9F">
            <w:pPr>
              <w:numPr>
                <w:ilvl w:val="0"/>
                <w:numId w:val="38"/>
              </w:numPr>
              <w:overflowPunct w:val="0"/>
              <w:autoSpaceDE w:val="0"/>
              <w:autoSpaceDN w:val="0"/>
              <w:adjustRightInd w:val="0"/>
              <w:spacing w:after="0"/>
              <w:jc w:val="both"/>
              <w:textAlignment w:val="baseline"/>
              <w:rPr>
                <w:bCs/>
              </w:rPr>
            </w:pPr>
            <w:r w:rsidRPr="00AA6403">
              <w:t xml:space="preserve">Specify RF </w:t>
            </w:r>
            <w:r>
              <w:t>r</w:t>
            </w:r>
            <w:r w:rsidRPr="00AA6403">
              <w:t xml:space="preserve">equirements for satellite access node and </w:t>
            </w:r>
            <w:r>
              <w:t xml:space="preserve">NTN </w:t>
            </w:r>
            <w:r w:rsidRPr="00AA6403">
              <w:t>VSAT</w:t>
            </w:r>
            <w:r>
              <w:t xml:space="preserve"> types in 38.101-5 also considering existing regulations on antenna sizes for certain parts of the Ku band</w:t>
            </w:r>
            <w:r w:rsidRPr="00F6032E">
              <w:t>.</w:t>
            </w:r>
          </w:p>
          <w:p w14:paraId="23416ED6" w14:textId="77777777" w:rsidR="008B2E9F" w:rsidRDefault="008B2E9F" w:rsidP="008B2E9F">
            <w:pPr>
              <w:pStyle w:val="a6"/>
              <w:widowControl/>
              <w:numPr>
                <w:ilvl w:val="0"/>
                <w:numId w:val="39"/>
              </w:numPr>
              <w:spacing w:before="0" w:after="160" w:line="259" w:lineRule="auto"/>
              <w:ind w:firstLineChars="0"/>
              <w:contextualSpacing/>
              <w:rPr>
                <w:sz w:val="20"/>
                <w:szCs w:val="20"/>
              </w:rPr>
            </w:pPr>
            <w:r>
              <w:rPr>
                <w:sz w:val="20"/>
                <w:szCs w:val="20"/>
              </w:rPr>
              <w:t xml:space="preserve">Priority 1: for all ITU regions, define Ku band #1a and #1b for the downlink block and uplink block B to enable the future possibility of supporting satellite services in 125 MHz (UL) and 250 MHz (DL) aggregated bandwidths </w:t>
            </w:r>
            <w:r w:rsidRPr="00050C69">
              <w:rPr>
                <w:sz w:val="20"/>
                <w:szCs w:val="20"/>
              </w:rPr>
              <w:t>based on existing channel bandwidths</w:t>
            </w:r>
            <w:r>
              <w:rPr>
                <w:sz w:val="20"/>
                <w:szCs w:val="20"/>
              </w:rPr>
              <w:t>. Potential approaches for achieving this shall be studied, from which one shall be selected including but not limited to:</w:t>
            </w:r>
          </w:p>
          <w:p w14:paraId="2045D8AB" w14:textId="77777777" w:rsidR="008B2E9F" w:rsidRDefault="008B2E9F" w:rsidP="008B2E9F">
            <w:pPr>
              <w:pStyle w:val="a6"/>
              <w:widowControl/>
              <w:numPr>
                <w:ilvl w:val="1"/>
                <w:numId w:val="39"/>
              </w:numPr>
              <w:spacing w:before="0" w:after="160" w:line="259" w:lineRule="auto"/>
              <w:ind w:firstLineChars="0"/>
              <w:contextualSpacing/>
              <w:rPr>
                <w:sz w:val="20"/>
                <w:szCs w:val="20"/>
              </w:rPr>
            </w:pPr>
            <w:r>
              <w:rPr>
                <w:sz w:val="20"/>
                <w:szCs w:val="20"/>
              </w:rPr>
              <w:t>Ku band #1a and #1b as FR1-NTN supporting 20 MHz, 35 MHz, 50 MHz, 70 MHz and 100 MHz channel bandwidths with 30 kHz subcarrier spacing</w:t>
            </w:r>
          </w:p>
          <w:p w14:paraId="3295DDB1" w14:textId="77777777" w:rsidR="008B2E9F" w:rsidRDefault="008B2E9F" w:rsidP="008B2E9F">
            <w:pPr>
              <w:pStyle w:val="a6"/>
              <w:widowControl/>
              <w:numPr>
                <w:ilvl w:val="1"/>
                <w:numId w:val="39"/>
              </w:numPr>
              <w:spacing w:before="0" w:after="160" w:line="259" w:lineRule="auto"/>
              <w:ind w:firstLineChars="0"/>
              <w:contextualSpacing/>
              <w:rPr>
                <w:sz w:val="20"/>
                <w:szCs w:val="20"/>
              </w:rPr>
            </w:pPr>
            <w:r>
              <w:rPr>
                <w:sz w:val="20"/>
                <w:szCs w:val="20"/>
              </w:rPr>
              <w:t>Ku band #1a and #1b as FR2-NTN supporting 50 MHz, 100 MHz, 200 MHz, 400 MHz (120kHz SCS only) channel bandwidths with 120 kHz subcarrier spacing</w:t>
            </w:r>
          </w:p>
          <w:p w14:paraId="3A66AF06" w14:textId="77777777" w:rsidR="008B2E9F" w:rsidRDefault="008B2E9F" w:rsidP="008B2E9F">
            <w:pPr>
              <w:pStyle w:val="a6"/>
              <w:widowControl/>
              <w:numPr>
                <w:ilvl w:val="0"/>
                <w:numId w:val="39"/>
              </w:numPr>
              <w:spacing w:before="0" w:after="160" w:line="259" w:lineRule="auto"/>
              <w:ind w:firstLineChars="0"/>
              <w:contextualSpacing/>
              <w:rPr>
                <w:sz w:val="20"/>
                <w:szCs w:val="20"/>
              </w:rPr>
            </w:pPr>
            <w:r>
              <w:rPr>
                <w:sz w:val="20"/>
                <w:szCs w:val="20"/>
              </w:rPr>
              <w:t xml:space="preserve">RAN4 will select which one of the above approaches </w:t>
            </w:r>
            <w:r w:rsidRPr="00050C69">
              <w:rPr>
                <w:sz w:val="20"/>
                <w:szCs w:val="20"/>
              </w:rPr>
              <w:t>for DL and UL</w:t>
            </w:r>
            <w:r>
              <w:rPr>
                <w:sz w:val="20"/>
                <w:szCs w:val="20"/>
              </w:rPr>
              <w:t xml:space="preserve"> will be pursued by RAN #106.</w:t>
            </w:r>
          </w:p>
          <w:p w14:paraId="1055419A" w14:textId="77777777" w:rsidR="008B2E9F" w:rsidRDefault="008B2E9F" w:rsidP="008B2E9F">
            <w:pPr>
              <w:pStyle w:val="a6"/>
              <w:widowControl/>
              <w:numPr>
                <w:ilvl w:val="0"/>
                <w:numId w:val="39"/>
              </w:numPr>
              <w:spacing w:before="0" w:after="160" w:line="259" w:lineRule="auto"/>
              <w:ind w:firstLineChars="0"/>
              <w:contextualSpacing/>
              <w:rPr>
                <w:sz w:val="20"/>
                <w:szCs w:val="20"/>
              </w:rPr>
            </w:pPr>
            <w:r>
              <w:rPr>
                <w:sz w:val="20"/>
                <w:szCs w:val="20"/>
              </w:rPr>
              <w:t>Priority 2: for all ITU regions excluding the US in region 2, using the approach in Priority 1, define Ku band #2a and #2b as appropriate for the downlink block and uplink block A to support satellite services in 125 MHz (UL) and 250 MHz (DL) aggregated bandwidths.</w:t>
            </w:r>
          </w:p>
          <w:p w14:paraId="31C26698" w14:textId="77777777" w:rsidR="008B2E9F" w:rsidRPr="004E545F" w:rsidRDefault="008B2E9F" w:rsidP="008B2E9F">
            <w:pPr>
              <w:pStyle w:val="a6"/>
              <w:widowControl/>
              <w:numPr>
                <w:ilvl w:val="0"/>
                <w:numId w:val="39"/>
              </w:numPr>
              <w:spacing w:before="0" w:line="259" w:lineRule="auto"/>
              <w:ind w:firstLineChars="0"/>
              <w:contextualSpacing/>
              <w:rPr>
                <w:sz w:val="20"/>
                <w:szCs w:val="20"/>
              </w:rPr>
            </w:pPr>
            <w:r w:rsidRPr="00F6032E">
              <w:rPr>
                <w:sz w:val="20"/>
                <w:szCs w:val="20"/>
              </w:rPr>
              <w:t xml:space="preserve">Specify RRM requirements </w:t>
            </w:r>
          </w:p>
          <w:p w14:paraId="09E6B129" w14:textId="77777777" w:rsidR="008B2E9F" w:rsidRDefault="008B2E9F" w:rsidP="008B2E9F">
            <w:pPr>
              <w:pStyle w:val="a6"/>
              <w:spacing w:before="0" w:after="160" w:line="259" w:lineRule="auto"/>
              <w:ind w:left="360" w:firstLine="400"/>
              <w:contextualSpacing/>
              <w:rPr>
                <w:sz w:val="20"/>
                <w:szCs w:val="20"/>
              </w:rPr>
            </w:pPr>
          </w:p>
          <w:p w14:paraId="3204AB43" w14:textId="65AA6248" w:rsidR="00412E23" w:rsidRPr="00731E20" w:rsidRDefault="008B2E9F" w:rsidP="00731E20">
            <w:pPr>
              <w:pStyle w:val="a6"/>
              <w:spacing w:before="0" w:after="160" w:line="259" w:lineRule="auto"/>
              <w:ind w:left="360" w:firstLine="400"/>
              <w:contextualSpacing/>
              <w:rPr>
                <w:sz w:val="20"/>
                <w:szCs w:val="20"/>
              </w:rPr>
            </w:pPr>
            <w:r>
              <w:rPr>
                <w:sz w:val="20"/>
                <w:szCs w:val="20"/>
              </w:rPr>
              <w:t>Note: Support for NTN CA is not in the scope of this WID</w:t>
            </w:r>
          </w:p>
        </w:tc>
      </w:tr>
    </w:tbl>
    <w:p w14:paraId="0C049880" w14:textId="205B0F6A" w:rsidR="00412E23" w:rsidRDefault="00412E23" w:rsidP="002D7346">
      <w:pPr>
        <w:spacing w:beforeLines="50" w:before="120" w:after="0"/>
        <w:jc w:val="both"/>
      </w:pPr>
    </w:p>
    <w:p w14:paraId="606B2947" w14:textId="1DFEA132" w:rsidR="00412E23" w:rsidRDefault="00B37695" w:rsidP="002D7346">
      <w:pPr>
        <w:spacing w:beforeLines="50" w:before="120" w:after="0"/>
        <w:jc w:val="both"/>
        <w:rPr>
          <w:lang w:eastAsia="zh-CN"/>
        </w:rPr>
      </w:pPr>
      <w:r>
        <w:rPr>
          <w:lang w:eastAsia="zh-CN"/>
        </w:rPr>
        <w:t xml:space="preserve">In this paper, we share </w:t>
      </w:r>
      <w:r>
        <w:rPr>
          <w:rFonts w:hint="eastAsia"/>
          <w:lang w:eastAsia="zh-CN"/>
        </w:rPr>
        <w:t>o</w:t>
      </w:r>
      <w:r>
        <w:rPr>
          <w:lang w:eastAsia="zh-CN"/>
        </w:rPr>
        <w:t>ur</w:t>
      </w:r>
      <w:r w:rsidR="00216843">
        <w:rPr>
          <w:lang w:eastAsia="zh-CN"/>
        </w:rPr>
        <w:t xml:space="preserve"> initial</w:t>
      </w:r>
      <w:r>
        <w:rPr>
          <w:lang w:eastAsia="zh-CN"/>
        </w:rPr>
        <w:t xml:space="preserve"> views and observations</w:t>
      </w:r>
      <w:r w:rsidR="006E7BB8">
        <w:rPr>
          <w:lang w:eastAsia="zh-CN"/>
        </w:rPr>
        <w:t xml:space="preserve"> </w:t>
      </w:r>
      <w:r w:rsidR="00731E20">
        <w:rPr>
          <w:lang w:eastAsia="zh-CN"/>
        </w:rPr>
        <w:t>on the differences of this Ku-band co-ex studies compared to the previous Ka-band co-ex studies for discussion</w:t>
      </w:r>
      <w:r w:rsidR="007F18B3">
        <w:rPr>
          <w:lang w:eastAsia="zh-CN"/>
        </w:rPr>
        <w:t>.</w:t>
      </w:r>
    </w:p>
    <w:p w14:paraId="1B7823D6" w14:textId="0887A58E" w:rsidR="006C0AE1" w:rsidRPr="00790A07" w:rsidRDefault="00727BFD" w:rsidP="006C0AE1">
      <w:pPr>
        <w:pStyle w:val="1"/>
      </w:pPr>
      <w:r>
        <w:t>2</w:t>
      </w:r>
      <w:r w:rsidR="006C0AE1" w:rsidRPr="00790A07">
        <w:tab/>
      </w:r>
      <w:r w:rsidR="00731E20">
        <w:t>Deployment scenarios</w:t>
      </w:r>
    </w:p>
    <w:p w14:paraId="597E2D6A" w14:textId="52B1983E" w:rsidR="000E7E6F" w:rsidRDefault="000E7E6F" w:rsidP="00C50838">
      <w:pPr>
        <w:rPr>
          <w:lang w:val="sv-SE" w:eastAsia="zh-CN"/>
        </w:rPr>
      </w:pPr>
      <w:r>
        <w:rPr>
          <w:rFonts w:hint="eastAsia"/>
          <w:lang w:val="sv-SE" w:eastAsia="zh-CN"/>
        </w:rPr>
        <w:t>I</w:t>
      </w:r>
      <w:r>
        <w:rPr>
          <w:lang w:val="sv-SE" w:eastAsia="zh-CN"/>
        </w:rPr>
        <w:t>n previous Ka-band studies, the co-ex scenario assumed the NTN UE in FR1 and FR2 is highly possible to support TN bands. And following this assumption, the co-ex studies adopted an isolation distance between the NTN network and TN network. It is because when an UE is close to the TN network on the ground within a certain range, it always received better SNR compared to the SNR from NTN SAN.</w:t>
      </w:r>
    </w:p>
    <w:p w14:paraId="3FFC13C2" w14:textId="0F96FF5F" w:rsidR="00731E20" w:rsidRDefault="000E7E6F" w:rsidP="00C50838">
      <w:pPr>
        <w:rPr>
          <w:lang w:val="sv-SE" w:eastAsia="zh-CN"/>
        </w:rPr>
      </w:pPr>
      <w:r>
        <w:rPr>
          <w:lang w:val="sv-SE" w:eastAsia="zh-CN"/>
        </w:rPr>
        <w:t>However</w:t>
      </w:r>
      <w:r w:rsidR="00731E20">
        <w:rPr>
          <w:lang w:val="sv-SE" w:eastAsia="zh-CN"/>
        </w:rPr>
        <w:t xml:space="preserve">, </w:t>
      </w:r>
      <w:r>
        <w:rPr>
          <w:lang w:val="sv-SE" w:eastAsia="zh-CN"/>
        </w:rPr>
        <w:t xml:space="preserve">there’s a question mark whether the above assumption is still true with </w:t>
      </w:r>
      <w:r w:rsidR="00731E20">
        <w:rPr>
          <w:lang w:val="sv-SE" w:eastAsia="zh-CN"/>
        </w:rPr>
        <w:t xml:space="preserve">the </w:t>
      </w:r>
      <w:r>
        <w:rPr>
          <w:lang w:val="sv-SE" w:eastAsia="zh-CN"/>
        </w:rPr>
        <w:t>introduction of</w:t>
      </w:r>
      <w:r w:rsidR="00731E20">
        <w:rPr>
          <w:lang w:val="sv-SE" w:eastAsia="zh-CN"/>
        </w:rPr>
        <w:t xml:space="preserve"> Ku-band</w:t>
      </w:r>
      <w:r>
        <w:rPr>
          <w:lang w:val="sv-SE" w:eastAsia="zh-CN"/>
        </w:rPr>
        <w:t xml:space="preserve">. The spectrum studied in the WID[1] is in 10~15GHz range where it was not the traditional 3GPP bands and products were developed and deployed. In this case, the devices working for Ku-band may be highly possible not supporting the TN network </w:t>
      </w:r>
      <w:r w:rsidR="006D77DC">
        <w:rPr>
          <w:lang w:val="sv-SE" w:eastAsia="zh-CN"/>
        </w:rPr>
        <w:t xml:space="preserve">for a certain period of time. In this case, </w:t>
      </w:r>
      <w:r>
        <w:rPr>
          <w:lang w:val="sv-SE" w:eastAsia="zh-CN"/>
        </w:rPr>
        <w:t>the isolation distances assumed in Ka-b</w:t>
      </w:r>
      <w:r w:rsidR="006D77DC">
        <w:rPr>
          <w:lang w:val="sv-SE" w:eastAsia="zh-CN"/>
        </w:rPr>
        <w:t>and study may not be applied to the Ku-band studies.</w:t>
      </w:r>
    </w:p>
    <w:p w14:paraId="2ECF966F" w14:textId="0E8F4846" w:rsidR="006D77DC" w:rsidRDefault="006D77DC" w:rsidP="00C50838">
      <w:pPr>
        <w:rPr>
          <w:lang w:val="sv-SE" w:eastAsia="zh-CN"/>
        </w:rPr>
      </w:pPr>
      <w:r w:rsidRPr="006D77DC">
        <w:rPr>
          <w:b/>
          <w:lang w:val="sv-SE" w:eastAsia="zh-CN"/>
        </w:rPr>
        <w:t>Observation 1:</w:t>
      </w:r>
      <w:r>
        <w:rPr>
          <w:lang w:val="sv-SE" w:eastAsia="zh-CN"/>
        </w:rPr>
        <w:t xml:space="preserve"> The isolation distance adopted in previous R17 FR1-NTN and R18 FR2-NTN is based on the assumption that the UE probably will support both NTN and TN bands, so the NTN UE will not connect to a NTN SAN if it is within a certain range, i.e. the isolation distance, to a TN network on the ground.</w:t>
      </w:r>
    </w:p>
    <w:p w14:paraId="29D45E4D" w14:textId="79A199AA" w:rsidR="006D77DC" w:rsidRDefault="006D77DC" w:rsidP="00C50838">
      <w:pPr>
        <w:rPr>
          <w:lang w:val="sv-SE" w:eastAsia="zh-CN"/>
        </w:rPr>
      </w:pPr>
      <w:r w:rsidRPr="006D77DC">
        <w:rPr>
          <w:b/>
          <w:lang w:val="sv-SE" w:eastAsia="zh-CN"/>
        </w:rPr>
        <w:t>Observation 2:</w:t>
      </w:r>
      <w:r>
        <w:rPr>
          <w:lang w:val="sv-SE" w:eastAsia="zh-CN"/>
        </w:rPr>
        <w:t xml:space="preserve"> The UE operating in Ku-band probably will not support the TN network, given the 3GPP network was not widely developed or deployed in this frequency ranges. Thus the isolation distance may not be applicable to Ku-band co-ex studies.</w:t>
      </w:r>
    </w:p>
    <w:p w14:paraId="47910C30" w14:textId="3F83F585" w:rsidR="006D77DC" w:rsidRPr="006D77DC" w:rsidRDefault="006D77DC" w:rsidP="00C50838">
      <w:pPr>
        <w:rPr>
          <w:b/>
          <w:lang w:val="sv-SE" w:eastAsia="zh-CN"/>
        </w:rPr>
      </w:pPr>
      <w:r w:rsidRPr="006D77DC">
        <w:rPr>
          <w:b/>
          <w:lang w:val="sv-SE" w:eastAsia="zh-CN"/>
        </w:rPr>
        <w:t>Proposal 1: Given the difference between Ku-band and Ka-band, the isolation setting between TN and NTN should be revisited for co-ex studies. The co-ex without isolation distance, i.e. geographical overlapping case should not be skipped for Ku-band study from the beginning.</w:t>
      </w:r>
    </w:p>
    <w:p w14:paraId="6AEB2F48" w14:textId="26F8D57C" w:rsidR="006D77DC" w:rsidRDefault="006D77DC" w:rsidP="00C50838">
      <w:pPr>
        <w:rPr>
          <w:lang w:val="sv-SE" w:eastAsia="zh-CN"/>
        </w:rPr>
      </w:pPr>
    </w:p>
    <w:p w14:paraId="54020906" w14:textId="0E54CC99" w:rsidR="008F2706" w:rsidRPr="00790A07" w:rsidRDefault="008F2706" w:rsidP="008F2706">
      <w:pPr>
        <w:pStyle w:val="1"/>
      </w:pPr>
      <w:r>
        <w:t>3</w:t>
      </w:r>
      <w:r w:rsidRPr="00790A07">
        <w:tab/>
      </w:r>
      <w:r>
        <w:t>System characteristics</w:t>
      </w:r>
    </w:p>
    <w:p w14:paraId="3322AADF" w14:textId="39528DC4" w:rsidR="008F2706" w:rsidRDefault="008F2706" w:rsidP="00C50838">
      <w:pPr>
        <w:rPr>
          <w:lang w:val="sv-SE" w:eastAsia="zh-CN"/>
        </w:rPr>
      </w:pPr>
      <w:r>
        <w:rPr>
          <w:rFonts w:hint="eastAsia"/>
          <w:lang w:val="sv-SE" w:eastAsia="zh-CN"/>
        </w:rPr>
        <w:t>T</w:t>
      </w:r>
      <w:r>
        <w:rPr>
          <w:lang w:val="sv-SE" w:eastAsia="zh-CN"/>
        </w:rPr>
        <w:t>he WID[1] provided two settings for the channel bandwidth and SCS settings for the proposed Ku-band, which is different to the previous Ka-band studies. The two settings are the following:</w:t>
      </w:r>
    </w:p>
    <w:p w14:paraId="66056FB3" w14:textId="1F53623A" w:rsidR="008F2706" w:rsidRPr="008F2706" w:rsidRDefault="008F2706" w:rsidP="008F2706">
      <w:pPr>
        <w:rPr>
          <w:lang w:val="en-US" w:eastAsia="zh-CN"/>
        </w:rPr>
      </w:pPr>
      <w:r>
        <w:rPr>
          <w:lang w:val="sv-SE" w:eastAsia="zh-CN"/>
        </w:rPr>
        <w:t xml:space="preserve">- </w:t>
      </w:r>
      <w:r w:rsidRPr="008F2706">
        <w:rPr>
          <w:lang w:val="en-US" w:eastAsia="zh-CN"/>
        </w:rPr>
        <w:t>Ku band #1a and #1b as FR1-NTN supporting 20 MHz, 35 MHz, 50 MHz, 70 MHz and 100 MHz channel bandwidths with 30 kHz subcarrier spacing</w:t>
      </w:r>
    </w:p>
    <w:p w14:paraId="799B1ECF" w14:textId="694E1BF4" w:rsidR="008F2706" w:rsidRPr="008F2706" w:rsidRDefault="008F2706" w:rsidP="008F2706">
      <w:pPr>
        <w:rPr>
          <w:lang w:val="en-US" w:eastAsia="zh-CN"/>
        </w:rPr>
      </w:pPr>
      <w:r>
        <w:rPr>
          <w:lang w:val="en-US" w:eastAsia="zh-CN"/>
        </w:rPr>
        <w:t xml:space="preserve">- </w:t>
      </w:r>
      <w:r w:rsidRPr="008F2706">
        <w:rPr>
          <w:lang w:val="en-US" w:eastAsia="zh-CN"/>
        </w:rPr>
        <w:t>Ku band #1a and #1b as FR2-NTN supporting 50 MHz, 100 MHz, 200 MHz, 400 MHz (120kHz SCS only) channel bandwidths with 120 kHz subcarrier spacing</w:t>
      </w:r>
    </w:p>
    <w:p w14:paraId="2F156DB3" w14:textId="041FA6EB" w:rsidR="008F2706" w:rsidRDefault="008F2706" w:rsidP="00C50838">
      <w:pPr>
        <w:rPr>
          <w:lang w:val="en-US" w:eastAsia="zh-CN"/>
        </w:rPr>
      </w:pPr>
      <w:r>
        <w:rPr>
          <w:rFonts w:hint="eastAsia"/>
          <w:lang w:val="en-US" w:eastAsia="zh-CN"/>
        </w:rPr>
        <w:t>T</w:t>
      </w:r>
      <w:r>
        <w:rPr>
          <w:lang w:val="en-US" w:eastAsia="zh-CN"/>
        </w:rPr>
        <w:t>hese proposed bandwidth and SCS should be taken into account in the co-ex studies.</w:t>
      </w:r>
    </w:p>
    <w:p w14:paraId="26521EF0" w14:textId="4DD29533" w:rsidR="008F2706" w:rsidRPr="00597358" w:rsidRDefault="008F2706" w:rsidP="00C50838">
      <w:pPr>
        <w:rPr>
          <w:b/>
          <w:lang w:val="en-US" w:eastAsia="zh-CN"/>
        </w:rPr>
      </w:pPr>
      <w:r w:rsidRPr="00597358">
        <w:rPr>
          <w:b/>
          <w:lang w:val="en-US" w:eastAsia="zh-CN"/>
        </w:rPr>
        <w:t>Proposal 2: The WID proposed channel bandwidth and SCS combinations should be taken into accou</w:t>
      </w:r>
      <w:r w:rsidR="00597358" w:rsidRPr="00597358">
        <w:rPr>
          <w:b/>
          <w:lang w:val="en-US" w:eastAsia="zh-CN"/>
        </w:rPr>
        <w:t>nt for the Ku-band studies as the difference to previous studies.</w:t>
      </w:r>
      <w:r w:rsidR="00597358">
        <w:rPr>
          <w:b/>
          <w:lang w:val="en-US" w:eastAsia="zh-CN"/>
        </w:rPr>
        <w:t xml:space="preserve"> Among those, the worst case should be evaluated for co-ex purpose.</w:t>
      </w:r>
    </w:p>
    <w:p w14:paraId="0FE54A61" w14:textId="6A63327E" w:rsidR="00597358" w:rsidRDefault="00597358" w:rsidP="00C50838">
      <w:pPr>
        <w:rPr>
          <w:lang w:val="en-US" w:eastAsia="zh-CN"/>
        </w:rPr>
      </w:pPr>
    </w:p>
    <w:p w14:paraId="7A950202" w14:textId="271867AC" w:rsidR="00597358" w:rsidRDefault="00597358" w:rsidP="00C50838">
      <w:pPr>
        <w:rPr>
          <w:lang w:val="en-US" w:eastAsia="zh-CN"/>
        </w:rPr>
      </w:pPr>
      <w:r>
        <w:rPr>
          <w:rFonts w:hint="eastAsia"/>
          <w:lang w:val="en-US" w:eastAsia="zh-CN"/>
        </w:rPr>
        <w:t>B</w:t>
      </w:r>
      <w:r>
        <w:rPr>
          <w:lang w:val="en-US" w:eastAsia="zh-CN"/>
        </w:rPr>
        <w:t>esides, it is a question mark to us whether the previous Set-1 and Set-2 satellite Tx and Rx parameters from TR 38.811 are still applicable to this Ku-band.</w:t>
      </w:r>
    </w:p>
    <w:p w14:paraId="6E4E05A0" w14:textId="4E7311FD" w:rsidR="00597358" w:rsidRPr="00597358" w:rsidRDefault="00597358" w:rsidP="00C50838">
      <w:pPr>
        <w:rPr>
          <w:b/>
          <w:lang w:val="en-US" w:eastAsia="zh-CN"/>
        </w:rPr>
      </w:pPr>
      <w:r w:rsidRPr="00597358">
        <w:rPr>
          <w:b/>
          <w:lang w:val="en-US" w:eastAsia="zh-CN"/>
        </w:rPr>
        <w:t>Proposal 3: It is proposed to discuss and confirm whether Set-1 and Set-2 satellite Tx and Rx parameters are still applicable to this Ku-band studies.</w:t>
      </w:r>
    </w:p>
    <w:p w14:paraId="6A94655E" w14:textId="2F85FDDD" w:rsidR="008F2706" w:rsidRDefault="008F2706" w:rsidP="00C50838">
      <w:pPr>
        <w:rPr>
          <w:lang w:val="en-US" w:eastAsia="zh-CN"/>
        </w:rPr>
      </w:pPr>
    </w:p>
    <w:p w14:paraId="174BC2D6" w14:textId="34BA7E9E" w:rsidR="00597358" w:rsidRPr="00790A07" w:rsidRDefault="00D07D77" w:rsidP="00597358">
      <w:pPr>
        <w:pStyle w:val="1"/>
      </w:pPr>
      <w:r>
        <w:t>4</w:t>
      </w:r>
      <w:r w:rsidR="00597358" w:rsidRPr="00790A07">
        <w:tab/>
      </w:r>
      <w:r w:rsidR="00597358">
        <w:t xml:space="preserve">NTN VSAT </w:t>
      </w:r>
    </w:p>
    <w:p w14:paraId="4268D0CA" w14:textId="77777777" w:rsidR="00597358" w:rsidRPr="00597358" w:rsidRDefault="00597358" w:rsidP="00C50838">
      <w:pPr>
        <w:rPr>
          <w:lang w:val="sv-SE" w:eastAsia="zh-CN"/>
        </w:rPr>
      </w:pPr>
    </w:p>
    <w:p w14:paraId="4CACA94B" w14:textId="19967EAB" w:rsidR="0003403D" w:rsidRDefault="00597358" w:rsidP="00236C4A">
      <w:pPr>
        <w:rPr>
          <w:lang w:val="sv-SE" w:eastAsia="zh-CN"/>
        </w:rPr>
      </w:pPr>
      <w:r>
        <w:rPr>
          <w:lang w:val="sv-SE" w:eastAsia="zh-CN"/>
        </w:rPr>
        <w:lastRenderedPageBreak/>
        <w:t>Given in the WID, it clearly mentioned the existing regulation for antenna size, we encourage the proponent companies to provide more information about the regulations, and this should be adopted in the co-ex studies</w:t>
      </w:r>
      <w:r w:rsidR="0003403D">
        <w:rPr>
          <w:lang w:val="sv-SE" w:eastAsia="zh-CN"/>
        </w:rPr>
        <w:t>.</w:t>
      </w:r>
      <w:r w:rsidR="0003403D">
        <w:rPr>
          <w:rFonts w:hint="eastAsia"/>
          <w:lang w:val="sv-SE" w:eastAsia="zh-CN"/>
        </w:rPr>
        <w:t xml:space="preserve"> </w:t>
      </w:r>
      <w:r w:rsidR="0003403D">
        <w:rPr>
          <w:lang w:val="sv-SE" w:eastAsia="zh-CN"/>
        </w:rPr>
        <w:t>And the survey may be needed to better understand other regulations that may impact the Tx and Rx of NTN VSAT in early stage. As those regulations need to be considered in the co-ex studies, to make sure the co-ex studies is practical and valid.</w:t>
      </w:r>
    </w:p>
    <w:p w14:paraId="3D861BD8" w14:textId="5D3EFC49" w:rsidR="0003403D" w:rsidRPr="0003403D" w:rsidRDefault="0003403D" w:rsidP="00236C4A">
      <w:pPr>
        <w:rPr>
          <w:b/>
          <w:lang w:val="sv-SE" w:eastAsia="zh-CN"/>
        </w:rPr>
      </w:pPr>
      <w:r w:rsidRPr="0003403D">
        <w:rPr>
          <w:b/>
          <w:lang w:val="sv-SE" w:eastAsia="zh-CN"/>
        </w:rPr>
        <w:t xml:space="preserve">Proposal 4: The existing regulation, as mentioned by the WID, should be </w:t>
      </w:r>
      <w:r>
        <w:rPr>
          <w:b/>
          <w:lang w:val="sv-SE" w:eastAsia="zh-CN"/>
        </w:rPr>
        <w:t xml:space="preserve">considered and </w:t>
      </w:r>
      <w:r w:rsidRPr="0003403D">
        <w:rPr>
          <w:b/>
          <w:lang w:val="sv-SE" w:eastAsia="zh-CN"/>
        </w:rPr>
        <w:t>taken into account when making assumptions on NTN VSAT antenna size, gain, max power, etc.</w:t>
      </w:r>
    </w:p>
    <w:p w14:paraId="7173337D" w14:textId="221EC856" w:rsidR="00597358" w:rsidRDefault="00597358" w:rsidP="00236C4A">
      <w:pPr>
        <w:rPr>
          <w:lang w:val="sv-SE" w:eastAsia="zh-CN"/>
        </w:rPr>
      </w:pPr>
    </w:p>
    <w:p w14:paraId="11F86190" w14:textId="2614186E" w:rsidR="0003403D" w:rsidRDefault="0003403D" w:rsidP="00236C4A">
      <w:pPr>
        <w:rPr>
          <w:lang w:val="sv-SE" w:eastAsia="zh-CN"/>
        </w:rPr>
      </w:pPr>
      <w:r>
        <w:rPr>
          <w:rFonts w:hint="eastAsia"/>
          <w:lang w:val="sv-SE" w:eastAsia="zh-CN"/>
        </w:rPr>
        <w:t>A</w:t>
      </w:r>
      <w:r>
        <w:rPr>
          <w:lang w:val="sv-SE" w:eastAsia="zh-CN"/>
        </w:rPr>
        <w:t xml:space="preserve">lso, when considering uplink power control for NTN uplink, we adopted the assumption of target SNR as 15 dB, which is simply borrowed from TN networks. </w:t>
      </w:r>
    </w:p>
    <w:p w14:paraId="291CCFCF" w14:textId="5A0F1E76" w:rsidR="0003403D" w:rsidRDefault="0003403D" w:rsidP="00236C4A">
      <w:pPr>
        <w:rPr>
          <w:lang w:val="sv-SE" w:eastAsia="zh-CN"/>
        </w:rPr>
      </w:pPr>
      <w:r w:rsidRPr="00DD1856">
        <w:rPr>
          <w:b/>
          <w:lang w:val="sv-SE" w:eastAsia="zh-CN"/>
        </w:rPr>
        <w:t>Observation 3</w:t>
      </w:r>
      <w:r>
        <w:rPr>
          <w:lang w:val="sv-SE" w:eastAsia="zh-CN"/>
        </w:rPr>
        <w:t xml:space="preserve">: In previous NTN coex studies, 15dB as uplink power control SNR target was adopted </w:t>
      </w:r>
      <w:r w:rsidR="00DD1856">
        <w:rPr>
          <w:lang w:val="sv-SE" w:eastAsia="zh-CN"/>
        </w:rPr>
        <w:t xml:space="preserve">which is the same as TN networks. This assumption results in significant large portion of the NTN UE studied were transmitting in max Tx power allowed. </w:t>
      </w:r>
    </w:p>
    <w:p w14:paraId="15C3758C" w14:textId="158D3CDC" w:rsidR="00DD1856" w:rsidRDefault="00DD1856" w:rsidP="00236C4A">
      <w:pPr>
        <w:rPr>
          <w:lang w:val="sv-SE" w:eastAsia="zh-CN"/>
        </w:rPr>
      </w:pPr>
      <w:r>
        <w:rPr>
          <w:lang w:val="sv-SE" w:eastAsia="zh-CN"/>
        </w:rPr>
        <w:t>However, given the different use scenario of NTN, we suggest to re-consider this 15dB SNR target for uplink power control. And it is encouraged to the proponent companies to provide a practical value for the uplink power control target in their existing and/or planned services for Ku-band, and the co-ex studies can take this value as an update to the previous assumptions.</w:t>
      </w:r>
    </w:p>
    <w:p w14:paraId="666487E1" w14:textId="6F51A6CF" w:rsidR="00DD1856" w:rsidRPr="00DD1856" w:rsidRDefault="00DD1856" w:rsidP="00236C4A">
      <w:pPr>
        <w:rPr>
          <w:b/>
          <w:lang w:val="sv-SE" w:eastAsia="zh-CN"/>
        </w:rPr>
      </w:pPr>
      <w:r w:rsidRPr="00DD1856">
        <w:rPr>
          <w:b/>
          <w:lang w:val="sv-SE" w:eastAsia="zh-CN"/>
        </w:rPr>
        <w:t xml:space="preserve">Proposal 5: A different uplink control SNR target </w:t>
      </w:r>
      <w:r>
        <w:rPr>
          <w:b/>
          <w:lang w:val="sv-SE" w:eastAsia="zh-CN"/>
        </w:rPr>
        <w:t xml:space="preserve">other than 15dB </w:t>
      </w:r>
      <w:r w:rsidRPr="00DD1856">
        <w:rPr>
          <w:b/>
          <w:lang w:val="sv-SE" w:eastAsia="zh-CN"/>
        </w:rPr>
        <w:t>can be considered for Ku-band depending on the inputs from satellite companies.</w:t>
      </w:r>
    </w:p>
    <w:p w14:paraId="11106F9C" w14:textId="367DDE3C" w:rsidR="00DD1856" w:rsidRPr="00236C4A" w:rsidRDefault="00DD1856" w:rsidP="00236C4A">
      <w:pPr>
        <w:rPr>
          <w:lang w:val="sv-SE" w:eastAsia="zh-CN"/>
        </w:rPr>
      </w:pPr>
      <w:r>
        <w:rPr>
          <w:lang w:val="sv-SE" w:eastAsia="zh-CN"/>
        </w:rPr>
        <w:t xml:space="preserve"> </w:t>
      </w:r>
    </w:p>
    <w:p w14:paraId="6DE1A723" w14:textId="76D5BD00" w:rsidR="002D7346" w:rsidRPr="00D64FA5" w:rsidRDefault="00D07D77" w:rsidP="002D7346">
      <w:pPr>
        <w:pStyle w:val="1"/>
        <w:jc w:val="both"/>
        <w:rPr>
          <w:lang w:val="en-US"/>
        </w:rPr>
      </w:pPr>
      <w:r>
        <w:rPr>
          <w:lang w:val="en-US"/>
        </w:rPr>
        <w:t>5</w:t>
      </w:r>
      <w:r w:rsidR="002D7346">
        <w:rPr>
          <w:lang w:val="en-US"/>
        </w:rPr>
        <w:tab/>
      </w:r>
      <w:r w:rsidR="002D7346" w:rsidRPr="00D64FA5">
        <w:rPr>
          <w:lang w:val="en-US"/>
        </w:rPr>
        <w:t>Conclusion</w:t>
      </w:r>
    </w:p>
    <w:p w14:paraId="04D5E6C6" w14:textId="20E847AB" w:rsidR="002D7346" w:rsidRDefault="002D7346" w:rsidP="002D7346">
      <w:pPr>
        <w:rPr>
          <w:lang w:eastAsia="ja-JP"/>
        </w:rPr>
      </w:pPr>
      <w:r>
        <w:rPr>
          <w:rFonts w:hint="eastAsia"/>
          <w:lang w:eastAsia="ja-JP"/>
        </w:rPr>
        <w:t xml:space="preserve">For </w:t>
      </w:r>
      <w:r>
        <w:rPr>
          <w:lang w:eastAsia="ja-JP"/>
        </w:rPr>
        <w:t>the</w:t>
      </w:r>
      <w:r w:rsidR="00727BFD">
        <w:rPr>
          <w:lang w:eastAsia="ja-JP"/>
        </w:rPr>
        <w:t xml:space="preserve"> </w:t>
      </w:r>
      <w:r w:rsidR="0003403D">
        <w:rPr>
          <w:lang w:eastAsia="zh-CN"/>
        </w:rPr>
        <w:t>assumptions for co-ex studies in Ku-band NTN</w:t>
      </w:r>
      <w:r>
        <w:rPr>
          <w:rFonts w:hint="eastAsia"/>
          <w:lang w:eastAsia="ja-JP"/>
        </w:rPr>
        <w:t>, w</w:t>
      </w:r>
      <w:r>
        <w:t xml:space="preserve">e propose </w:t>
      </w:r>
      <w:r>
        <w:rPr>
          <w:rFonts w:hint="eastAsia"/>
          <w:lang w:eastAsia="ja-JP"/>
        </w:rPr>
        <w:t>the following</w:t>
      </w:r>
      <w:r>
        <w:t>.</w:t>
      </w:r>
    </w:p>
    <w:p w14:paraId="0A1237DA" w14:textId="77777777" w:rsidR="0003403D" w:rsidRDefault="0003403D" w:rsidP="0003403D">
      <w:pPr>
        <w:rPr>
          <w:lang w:val="sv-SE" w:eastAsia="zh-CN"/>
        </w:rPr>
      </w:pPr>
      <w:r w:rsidRPr="006D77DC">
        <w:rPr>
          <w:b/>
          <w:lang w:val="sv-SE" w:eastAsia="zh-CN"/>
        </w:rPr>
        <w:t>Observation 1:</w:t>
      </w:r>
      <w:r>
        <w:rPr>
          <w:lang w:val="sv-SE" w:eastAsia="zh-CN"/>
        </w:rPr>
        <w:t xml:space="preserve"> The isolation distance adopted in previous R17 FR1-NTN and R18 FR2-NTN is based on the assumption that the UE probably will support both NTN and TN bands, so the NTN UE will not connect to a NTN SAN if it is within a certain range, i.e. the isolation distance, to a TN network on the ground.</w:t>
      </w:r>
    </w:p>
    <w:p w14:paraId="77F559AB" w14:textId="77777777" w:rsidR="0003403D" w:rsidRDefault="0003403D" w:rsidP="0003403D">
      <w:pPr>
        <w:rPr>
          <w:lang w:val="sv-SE" w:eastAsia="zh-CN"/>
        </w:rPr>
      </w:pPr>
      <w:r w:rsidRPr="006D77DC">
        <w:rPr>
          <w:b/>
          <w:lang w:val="sv-SE" w:eastAsia="zh-CN"/>
        </w:rPr>
        <w:t>Observation 2:</w:t>
      </w:r>
      <w:r>
        <w:rPr>
          <w:lang w:val="sv-SE" w:eastAsia="zh-CN"/>
        </w:rPr>
        <w:t xml:space="preserve"> The UE operating in Ku-band probably will not support the TN network, given the 3GPP network was not widely developed or deployed in this frequency ranges. Thus the isolation distance may not be applicable to Ku-band co-ex studies.</w:t>
      </w:r>
    </w:p>
    <w:p w14:paraId="1A7DED29" w14:textId="77777777" w:rsidR="0003403D" w:rsidRPr="006D77DC" w:rsidRDefault="0003403D" w:rsidP="0003403D">
      <w:pPr>
        <w:rPr>
          <w:b/>
          <w:lang w:val="sv-SE" w:eastAsia="zh-CN"/>
        </w:rPr>
      </w:pPr>
      <w:r w:rsidRPr="006D77DC">
        <w:rPr>
          <w:b/>
          <w:lang w:val="sv-SE" w:eastAsia="zh-CN"/>
        </w:rPr>
        <w:t>Proposal 1: Given the difference between Ku-band and Ka-band, the isolation setting between TN and NTN should be revisited for co-ex studies. The co-ex without isolation distance, i.e. geographical overlapping case should not be skipped for Ku-band study from the beginning.</w:t>
      </w:r>
    </w:p>
    <w:p w14:paraId="53BF07F4" w14:textId="6BFFF111" w:rsidR="00BD3324" w:rsidRDefault="00BD3324" w:rsidP="00BD3324">
      <w:pPr>
        <w:rPr>
          <w:b/>
          <w:lang w:val="sv-SE" w:eastAsia="zh-CN"/>
        </w:rPr>
      </w:pPr>
    </w:p>
    <w:p w14:paraId="3EE0A963" w14:textId="77777777" w:rsidR="0003403D" w:rsidRPr="00597358" w:rsidRDefault="0003403D" w:rsidP="0003403D">
      <w:pPr>
        <w:rPr>
          <w:b/>
          <w:lang w:val="en-US" w:eastAsia="zh-CN"/>
        </w:rPr>
      </w:pPr>
      <w:r w:rsidRPr="00597358">
        <w:rPr>
          <w:b/>
          <w:lang w:val="en-US" w:eastAsia="zh-CN"/>
        </w:rPr>
        <w:t>Proposal 2: The WID proposed channel bandwidth and SCS combinations should be taken into account for the Ku-band studies as the difference to previous studies.</w:t>
      </w:r>
      <w:r>
        <w:rPr>
          <w:b/>
          <w:lang w:val="en-US" w:eastAsia="zh-CN"/>
        </w:rPr>
        <w:t xml:space="preserve"> Among those, the worst case should be evaluated for co-ex purpose.</w:t>
      </w:r>
    </w:p>
    <w:p w14:paraId="54D01BB3" w14:textId="4BCF0C90" w:rsidR="0003403D" w:rsidRDefault="0003403D" w:rsidP="00BD3324">
      <w:pPr>
        <w:rPr>
          <w:b/>
          <w:lang w:val="en-US" w:eastAsia="zh-CN"/>
        </w:rPr>
      </w:pPr>
    </w:p>
    <w:p w14:paraId="7C791D51" w14:textId="77777777" w:rsidR="0003403D" w:rsidRPr="00597358" w:rsidRDefault="0003403D" w:rsidP="0003403D">
      <w:pPr>
        <w:rPr>
          <w:b/>
          <w:lang w:val="en-US" w:eastAsia="zh-CN"/>
        </w:rPr>
      </w:pPr>
      <w:r w:rsidRPr="00597358">
        <w:rPr>
          <w:b/>
          <w:lang w:val="en-US" w:eastAsia="zh-CN"/>
        </w:rPr>
        <w:t>Proposal 3: It is proposed to discuss and confirm whether Set-1 and Set-2 satellite Tx and Rx parameters are still applicable to this Ku-band studies.</w:t>
      </w:r>
    </w:p>
    <w:p w14:paraId="6121C2BB" w14:textId="756CC014" w:rsidR="0003403D" w:rsidRDefault="0003403D" w:rsidP="00BD3324">
      <w:pPr>
        <w:rPr>
          <w:b/>
          <w:lang w:val="en-US" w:eastAsia="zh-CN"/>
        </w:rPr>
      </w:pPr>
    </w:p>
    <w:p w14:paraId="0BE290A8" w14:textId="77777777" w:rsidR="0003403D" w:rsidRPr="0003403D" w:rsidRDefault="0003403D" w:rsidP="0003403D">
      <w:pPr>
        <w:rPr>
          <w:b/>
          <w:lang w:val="sv-SE" w:eastAsia="zh-CN"/>
        </w:rPr>
      </w:pPr>
      <w:r w:rsidRPr="0003403D">
        <w:rPr>
          <w:b/>
          <w:lang w:val="sv-SE" w:eastAsia="zh-CN"/>
        </w:rPr>
        <w:t xml:space="preserve">Proposal 4: The existing regulation, as mentioned by the WID, should be </w:t>
      </w:r>
      <w:r>
        <w:rPr>
          <w:b/>
          <w:lang w:val="sv-SE" w:eastAsia="zh-CN"/>
        </w:rPr>
        <w:t xml:space="preserve">considered and </w:t>
      </w:r>
      <w:r w:rsidRPr="0003403D">
        <w:rPr>
          <w:b/>
          <w:lang w:val="sv-SE" w:eastAsia="zh-CN"/>
        </w:rPr>
        <w:t>taken into account when making assumptions on NTN VSAT antenna size, gain, max power, etc.</w:t>
      </w:r>
    </w:p>
    <w:p w14:paraId="6944BCC5" w14:textId="77777777" w:rsidR="00DD1856" w:rsidRDefault="00DD1856" w:rsidP="00DD1856">
      <w:pPr>
        <w:rPr>
          <w:b/>
          <w:lang w:val="sv-SE" w:eastAsia="zh-CN"/>
        </w:rPr>
      </w:pPr>
    </w:p>
    <w:p w14:paraId="6369064B" w14:textId="4691FA86" w:rsidR="00DD1856" w:rsidRDefault="00DD1856" w:rsidP="00DD1856">
      <w:pPr>
        <w:rPr>
          <w:lang w:val="sv-SE" w:eastAsia="zh-CN"/>
        </w:rPr>
      </w:pPr>
      <w:r w:rsidRPr="00DD1856">
        <w:rPr>
          <w:b/>
          <w:lang w:val="sv-SE" w:eastAsia="zh-CN"/>
        </w:rPr>
        <w:t>Observation 3</w:t>
      </w:r>
      <w:r>
        <w:rPr>
          <w:lang w:val="sv-SE" w:eastAsia="zh-CN"/>
        </w:rPr>
        <w:t xml:space="preserve">: In previous NTN coex studies, 15dB as uplink power control SNR target was adopted which is the same as TN networks. This assumption results in significant large portion of the NTN UE studied were transmitting in max Tx power allowed. </w:t>
      </w:r>
    </w:p>
    <w:p w14:paraId="3AA0EDFB" w14:textId="77777777" w:rsidR="00DD1856" w:rsidRPr="00DD1856" w:rsidRDefault="00DD1856" w:rsidP="00DD1856">
      <w:pPr>
        <w:rPr>
          <w:b/>
          <w:lang w:val="sv-SE" w:eastAsia="zh-CN"/>
        </w:rPr>
      </w:pPr>
      <w:r w:rsidRPr="00DD1856">
        <w:rPr>
          <w:b/>
          <w:lang w:val="sv-SE" w:eastAsia="zh-CN"/>
        </w:rPr>
        <w:lastRenderedPageBreak/>
        <w:t xml:space="preserve">Proposal 5: A different uplink control SNR target </w:t>
      </w:r>
      <w:r>
        <w:rPr>
          <w:b/>
          <w:lang w:val="sv-SE" w:eastAsia="zh-CN"/>
        </w:rPr>
        <w:t xml:space="preserve">other than 15dB </w:t>
      </w:r>
      <w:r w:rsidRPr="00DD1856">
        <w:rPr>
          <w:b/>
          <w:lang w:val="sv-SE" w:eastAsia="zh-CN"/>
        </w:rPr>
        <w:t>can be considered for Ku-band depending on the inputs from satellite companies.</w:t>
      </w:r>
    </w:p>
    <w:p w14:paraId="6811BF3E" w14:textId="77777777" w:rsidR="0003403D" w:rsidRPr="00DD1856" w:rsidRDefault="0003403D" w:rsidP="00BD3324">
      <w:pPr>
        <w:rPr>
          <w:b/>
          <w:lang w:val="sv-SE" w:eastAsia="zh-CN"/>
        </w:rPr>
      </w:pPr>
    </w:p>
    <w:p w14:paraId="154635DA" w14:textId="765C6D59" w:rsidR="002D7346" w:rsidRPr="0042663F" w:rsidRDefault="00D07D77" w:rsidP="002D7346">
      <w:pPr>
        <w:pStyle w:val="1"/>
        <w:jc w:val="both"/>
        <w:rPr>
          <w:lang w:val="en-US"/>
        </w:rPr>
      </w:pPr>
      <w:r>
        <w:rPr>
          <w:lang w:val="en-US"/>
        </w:rPr>
        <w:t>6</w:t>
      </w:r>
      <w:r w:rsidR="002D7346">
        <w:rPr>
          <w:lang w:val="en-US"/>
        </w:rPr>
        <w:tab/>
      </w:r>
      <w:r w:rsidR="002D7346" w:rsidRPr="0042663F">
        <w:rPr>
          <w:lang w:val="en-US"/>
        </w:rPr>
        <w:t>Reference</w:t>
      </w:r>
    </w:p>
    <w:p w14:paraId="5D7307DC" w14:textId="48058ABC" w:rsidR="00852FE5" w:rsidRPr="0062060A" w:rsidRDefault="002D7346" w:rsidP="00076746">
      <w:pPr>
        <w:rPr>
          <w:sz w:val="18"/>
          <w:szCs w:val="18"/>
          <w:lang w:val="en-US" w:eastAsia="zh-CN"/>
        </w:rPr>
      </w:pPr>
      <w:r w:rsidRPr="00A67306">
        <w:rPr>
          <w:sz w:val="18"/>
          <w:szCs w:val="18"/>
          <w:lang w:val="en-US" w:eastAsia="zh-CN"/>
        </w:rPr>
        <w:t>[1] R</w:t>
      </w:r>
      <w:r w:rsidRPr="00A67306">
        <w:rPr>
          <w:rFonts w:hint="eastAsia"/>
          <w:sz w:val="18"/>
          <w:szCs w:val="18"/>
          <w:lang w:val="en-US" w:eastAsia="zh-CN"/>
        </w:rPr>
        <w:t>P</w:t>
      </w:r>
      <w:r w:rsidRPr="00A67306">
        <w:rPr>
          <w:sz w:val="18"/>
          <w:szCs w:val="18"/>
          <w:lang w:val="en-US" w:eastAsia="zh-CN"/>
        </w:rPr>
        <w:t>-</w:t>
      </w:r>
      <w:r w:rsidR="00076746">
        <w:rPr>
          <w:sz w:val="18"/>
          <w:szCs w:val="18"/>
          <w:lang w:val="en-US" w:eastAsia="zh-CN"/>
        </w:rPr>
        <w:t>241690</w:t>
      </w:r>
      <w:r w:rsidRPr="00A67306">
        <w:rPr>
          <w:sz w:val="18"/>
          <w:szCs w:val="18"/>
          <w:lang w:val="en-US" w:eastAsia="zh-CN"/>
        </w:rPr>
        <w:t xml:space="preserve">, </w:t>
      </w:r>
      <w:r w:rsidR="00076746">
        <w:rPr>
          <w:sz w:val="18"/>
          <w:szCs w:val="18"/>
          <w:lang w:val="en-US" w:eastAsia="zh-CN"/>
        </w:rPr>
        <w:t>New WID on Introduction of Ku Band for NR NTN</w:t>
      </w:r>
    </w:p>
    <w:sectPr w:rsidR="00852FE5" w:rsidRPr="0062060A"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87ADA" w14:textId="77777777" w:rsidR="00E07886" w:rsidRDefault="00E07886" w:rsidP="006165E1">
      <w:pPr>
        <w:spacing w:after="0"/>
      </w:pPr>
      <w:r>
        <w:separator/>
      </w:r>
    </w:p>
  </w:endnote>
  <w:endnote w:type="continuationSeparator" w:id="0">
    <w:p w14:paraId="59DB3D8D" w14:textId="77777777" w:rsidR="00E07886" w:rsidRDefault="00E07886"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DB41E" w14:textId="77777777" w:rsidR="00E07886" w:rsidRDefault="00E07886" w:rsidP="006165E1">
      <w:pPr>
        <w:spacing w:after="0"/>
      </w:pPr>
      <w:r>
        <w:separator/>
      </w:r>
    </w:p>
  </w:footnote>
  <w:footnote w:type="continuationSeparator" w:id="0">
    <w:p w14:paraId="4200FD27" w14:textId="77777777" w:rsidR="00E07886" w:rsidRDefault="00E07886"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4"/>
  </w:num>
  <w:num w:numId="3">
    <w:abstractNumId w:val="0"/>
  </w:num>
  <w:num w:numId="4">
    <w:abstractNumId w:val="27"/>
  </w:num>
  <w:num w:numId="5">
    <w:abstractNumId w:val="25"/>
  </w:num>
  <w:num w:numId="6">
    <w:abstractNumId w:val="20"/>
  </w:num>
  <w:num w:numId="7">
    <w:abstractNumId w:val="21"/>
  </w:num>
  <w:num w:numId="8">
    <w:abstractNumId w:val="12"/>
  </w:num>
  <w:num w:numId="9">
    <w:abstractNumId w:val="26"/>
  </w:num>
  <w:num w:numId="10">
    <w:abstractNumId w:val="37"/>
  </w:num>
  <w:num w:numId="11">
    <w:abstractNumId w:val="7"/>
  </w:num>
  <w:num w:numId="12">
    <w:abstractNumId w:val="15"/>
  </w:num>
  <w:num w:numId="13">
    <w:abstractNumId w:val="8"/>
  </w:num>
  <w:num w:numId="14">
    <w:abstractNumId w:val="23"/>
  </w:num>
  <w:num w:numId="15">
    <w:abstractNumId w:val="13"/>
  </w:num>
  <w:num w:numId="16">
    <w:abstractNumId w:val="17"/>
  </w:num>
  <w:num w:numId="17">
    <w:abstractNumId w:val="22"/>
  </w:num>
  <w:num w:numId="18">
    <w:abstractNumId w:val="29"/>
  </w:num>
  <w:num w:numId="19">
    <w:abstractNumId w:val="2"/>
  </w:num>
  <w:num w:numId="20">
    <w:abstractNumId w:val="28"/>
  </w:num>
  <w:num w:numId="21">
    <w:abstractNumId w:val="4"/>
  </w:num>
  <w:num w:numId="22">
    <w:abstractNumId w:val="3"/>
  </w:num>
  <w:num w:numId="23">
    <w:abstractNumId w:val="33"/>
  </w:num>
  <w:num w:numId="24">
    <w:abstractNumId w:val="32"/>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9"/>
  </w:num>
  <w:num w:numId="27">
    <w:abstractNumId w:val="38"/>
  </w:num>
  <w:num w:numId="28">
    <w:abstractNumId w:val="30"/>
  </w:num>
  <w:num w:numId="29">
    <w:abstractNumId w:val="24"/>
  </w:num>
  <w:num w:numId="30">
    <w:abstractNumId w:val="14"/>
  </w:num>
  <w:num w:numId="31">
    <w:abstractNumId w:val="35"/>
  </w:num>
  <w:num w:numId="32">
    <w:abstractNumId w:val="16"/>
  </w:num>
  <w:num w:numId="33">
    <w:abstractNumId w:val="1"/>
  </w:num>
  <w:num w:numId="34">
    <w:abstractNumId w:val="11"/>
  </w:num>
  <w:num w:numId="35">
    <w:abstractNumId w:val="6"/>
  </w:num>
  <w:num w:numId="36">
    <w:abstractNumId w:val="5"/>
  </w:num>
  <w:num w:numId="37">
    <w:abstractNumId w:val="9"/>
  </w:num>
  <w:num w:numId="38">
    <w:abstractNumId w:val="36"/>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5B6D"/>
    <w:rsid w:val="00005C3B"/>
    <w:rsid w:val="000114F7"/>
    <w:rsid w:val="00025AE6"/>
    <w:rsid w:val="0003403D"/>
    <w:rsid w:val="0003540B"/>
    <w:rsid w:val="000376CE"/>
    <w:rsid w:val="000414A7"/>
    <w:rsid w:val="000461DB"/>
    <w:rsid w:val="00057514"/>
    <w:rsid w:val="00062129"/>
    <w:rsid w:val="0006795C"/>
    <w:rsid w:val="00074BC9"/>
    <w:rsid w:val="000761DD"/>
    <w:rsid w:val="00076746"/>
    <w:rsid w:val="0008662F"/>
    <w:rsid w:val="00087C16"/>
    <w:rsid w:val="00092918"/>
    <w:rsid w:val="00092C90"/>
    <w:rsid w:val="000A62F0"/>
    <w:rsid w:val="000A66B6"/>
    <w:rsid w:val="000B0F0F"/>
    <w:rsid w:val="000B500E"/>
    <w:rsid w:val="000D2169"/>
    <w:rsid w:val="000E7E6F"/>
    <w:rsid w:val="001019D0"/>
    <w:rsid w:val="001045CF"/>
    <w:rsid w:val="00111B5C"/>
    <w:rsid w:val="00113700"/>
    <w:rsid w:val="001157B3"/>
    <w:rsid w:val="00125501"/>
    <w:rsid w:val="00137303"/>
    <w:rsid w:val="001469E5"/>
    <w:rsid w:val="00170A1E"/>
    <w:rsid w:val="001852D3"/>
    <w:rsid w:val="001A3FB5"/>
    <w:rsid w:val="001B593C"/>
    <w:rsid w:val="001C1FE2"/>
    <w:rsid w:val="001C2C3B"/>
    <w:rsid w:val="001D12C7"/>
    <w:rsid w:val="001D1C53"/>
    <w:rsid w:val="001D28D3"/>
    <w:rsid w:val="001D759D"/>
    <w:rsid w:val="001E2428"/>
    <w:rsid w:val="001F11C7"/>
    <w:rsid w:val="001F62FC"/>
    <w:rsid w:val="00213C59"/>
    <w:rsid w:val="00216843"/>
    <w:rsid w:val="00231CC1"/>
    <w:rsid w:val="00236C4A"/>
    <w:rsid w:val="002458C8"/>
    <w:rsid w:val="002523E5"/>
    <w:rsid w:val="00253F79"/>
    <w:rsid w:val="0025747D"/>
    <w:rsid w:val="0026693D"/>
    <w:rsid w:val="0027793E"/>
    <w:rsid w:val="00283DA2"/>
    <w:rsid w:val="0028586C"/>
    <w:rsid w:val="00297370"/>
    <w:rsid w:val="002A4E5D"/>
    <w:rsid w:val="002B2A9B"/>
    <w:rsid w:val="002B2DCA"/>
    <w:rsid w:val="002B35A3"/>
    <w:rsid w:val="002B3F19"/>
    <w:rsid w:val="002B4A4E"/>
    <w:rsid w:val="002C528E"/>
    <w:rsid w:val="002D7346"/>
    <w:rsid w:val="002E2852"/>
    <w:rsid w:val="002E4648"/>
    <w:rsid w:val="002F4438"/>
    <w:rsid w:val="002F6239"/>
    <w:rsid w:val="0030508F"/>
    <w:rsid w:val="0030663C"/>
    <w:rsid w:val="003168C7"/>
    <w:rsid w:val="00325A14"/>
    <w:rsid w:val="00356FF3"/>
    <w:rsid w:val="00366B81"/>
    <w:rsid w:val="003676AB"/>
    <w:rsid w:val="00383A21"/>
    <w:rsid w:val="00393D9C"/>
    <w:rsid w:val="003A2C1B"/>
    <w:rsid w:val="003B2BFF"/>
    <w:rsid w:val="003B46EC"/>
    <w:rsid w:val="003C15F9"/>
    <w:rsid w:val="003C40AC"/>
    <w:rsid w:val="003C6A2A"/>
    <w:rsid w:val="003D1CCF"/>
    <w:rsid w:val="003E2F2D"/>
    <w:rsid w:val="003F3C93"/>
    <w:rsid w:val="00406D22"/>
    <w:rsid w:val="00406F86"/>
    <w:rsid w:val="00412E23"/>
    <w:rsid w:val="004137CD"/>
    <w:rsid w:val="0042293C"/>
    <w:rsid w:val="004249FC"/>
    <w:rsid w:val="00424BF4"/>
    <w:rsid w:val="004267D5"/>
    <w:rsid w:val="00435458"/>
    <w:rsid w:val="00452AC3"/>
    <w:rsid w:val="00457292"/>
    <w:rsid w:val="0045780A"/>
    <w:rsid w:val="00457ACF"/>
    <w:rsid w:val="0046573E"/>
    <w:rsid w:val="00465F0C"/>
    <w:rsid w:val="00474FCF"/>
    <w:rsid w:val="0049313B"/>
    <w:rsid w:val="004A139B"/>
    <w:rsid w:val="004A1D6C"/>
    <w:rsid w:val="004A3216"/>
    <w:rsid w:val="004B0981"/>
    <w:rsid w:val="004B2C6F"/>
    <w:rsid w:val="004B54EE"/>
    <w:rsid w:val="004E67B5"/>
    <w:rsid w:val="004F4EE5"/>
    <w:rsid w:val="004F6D35"/>
    <w:rsid w:val="00503A7B"/>
    <w:rsid w:val="00504FEF"/>
    <w:rsid w:val="005060A4"/>
    <w:rsid w:val="00515955"/>
    <w:rsid w:val="00536915"/>
    <w:rsid w:val="00537B87"/>
    <w:rsid w:val="005456F0"/>
    <w:rsid w:val="00547CAD"/>
    <w:rsid w:val="00556B7A"/>
    <w:rsid w:val="00561FF8"/>
    <w:rsid w:val="005670F7"/>
    <w:rsid w:val="005706F0"/>
    <w:rsid w:val="00574BDC"/>
    <w:rsid w:val="00597358"/>
    <w:rsid w:val="005A1996"/>
    <w:rsid w:val="005A52C3"/>
    <w:rsid w:val="005A6BE9"/>
    <w:rsid w:val="005B3563"/>
    <w:rsid w:val="005C135C"/>
    <w:rsid w:val="005C3D4B"/>
    <w:rsid w:val="005C4278"/>
    <w:rsid w:val="005D339F"/>
    <w:rsid w:val="005D6F82"/>
    <w:rsid w:val="005E1D56"/>
    <w:rsid w:val="005E40C3"/>
    <w:rsid w:val="005F0936"/>
    <w:rsid w:val="005F1DCE"/>
    <w:rsid w:val="005F4EB2"/>
    <w:rsid w:val="005F57BB"/>
    <w:rsid w:val="005F621C"/>
    <w:rsid w:val="006039E6"/>
    <w:rsid w:val="00606B70"/>
    <w:rsid w:val="006165E1"/>
    <w:rsid w:val="00616EB0"/>
    <w:rsid w:val="0062060A"/>
    <w:rsid w:val="00622675"/>
    <w:rsid w:val="00622CF2"/>
    <w:rsid w:val="006308E1"/>
    <w:rsid w:val="006412B1"/>
    <w:rsid w:val="00641CA5"/>
    <w:rsid w:val="006427A8"/>
    <w:rsid w:val="0064471C"/>
    <w:rsid w:val="006540F2"/>
    <w:rsid w:val="006553F2"/>
    <w:rsid w:val="00665DEF"/>
    <w:rsid w:val="00673034"/>
    <w:rsid w:val="006924D0"/>
    <w:rsid w:val="006A42EE"/>
    <w:rsid w:val="006A5323"/>
    <w:rsid w:val="006A6BBE"/>
    <w:rsid w:val="006B26E6"/>
    <w:rsid w:val="006C0AE1"/>
    <w:rsid w:val="006C178C"/>
    <w:rsid w:val="006C74F2"/>
    <w:rsid w:val="006D53CD"/>
    <w:rsid w:val="006D77DC"/>
    <w:rsid w:val="006E7BB8"/>
    <w:rsid w:val="006F722C"/>
    <w:rsid w:val="007123A0"/>
    <w:rsid w:val="00717CA0"/>
    <w:rsid w:val="00724C05"/>
    <w:rsid w:val="00727A35"/>
    <w:rsid w:val="00727BFD"/>
    <w:rsid w:val="007305D9"/>
    <w:rsid w:val="00731E20"/>
    <w:rsid w:val="0076153D"/>
    <w:rsid w:val="00766576"/>
    <w:rsid w:val="007712B3"/>
    <w:rsid w:val="00774444"/>
    <w:rsid w:val="00774626"/>
    <w:rsid w:val="00777EEF"/>
    <w:rsid w:val="00790A07"/>
    <w:rsid w:val="007E0CCC"/>
    <w:rsid w:val="007E6DCB"/>
    <w:rsid w:val="007F18B3"/>
    <w:rsid w:val="007F578D"/>
    <w:rsid w:val="007F5DD2"/>
    <w:rsid w:val="00806893"/>
    <w:rsid w:val="00815763"/>
    <w:rsid w:val="00815DE1"/>
    <w:rsid w:val="0081697C"/>
    <w:rsid w:val="00824F31"/>
    <w:rsid w:val="00835B1C"/>
    <w:rsid w:val="00850E13"/>
    <w:rsid w:val="00852FE5"/>
    <w:rsid w:val="00857825"/>
    <w:rsid w:val="008726C7"/>
    <w:rsid w:val="00881CCD"/>
    <w:rsid w:val="00890CDE"/>
    <w:rsid w:val="00891C63"/>
    <w:rsid w:val="00892DC6"/>
    <w:rsid w:val="008A7BA9"/>
    <w:rsid w:val="008B2E9F"/>
    <w:rsid w:val="008B3E51"/>
    <w:rsid w:val="008D0588"/>
    <w:rsid w:val="008D2DC6"/>
    <w:rsid w:val="008D58B4"/>
    <w:rsid w:val="008E1CED"/>
    <w:rsid w:val="008F08D0"/>
    <w:rsid w:val="008F2706"/>
    <w:rsid w:val="0090321C"/>
    <w:rsid w:val="00914ABF"/>
    <w:rsid w:val="009238B9"/>
    <w:rsid w:val="00926389"/>
    <w:rsid w:val="009354CE"/>
    <w:rsid w:val="00935E78"/>
    <w:rsid w:val="0093677B"/>
    <w:rsid w:val="00940222"/>
    <w:rsid w:val="009458C1"/>
    <w:rsid w:val="00953A50"/>
    <w:rsid w:val="00961595"/>
    <w:rsid w:val="009748BF"/>
    <w:rsid w:val="009A7CA7"/>
    <w:rsid w:val="009B12AF"/>
    <w:rsid w:val="009B5839"/>
    <w:rsid w:val="009C6211"/>
    <w:rsid w:val="009D3239"/>
    <w:rsid w:val="009E7B7F"/>
    <w:rsid w:val="00A01ADF"/>
    <w:rsid w:val="00A03687"/>
    <w:rsid w:val="00A22A01"/>
    <w:rsid w:val="00A3370F"/>
    <w:rsid w:val="00A3704C"/>
    <w:rsid w:val="00A37739"/>
    <w:rsid w:val="00A46DB4"/>
    <w:rsid w:val="00A50FCE"/>
    <w:rsid w:val="00A538F5"/>
    <w:rsid w:val="00A71C58"/>
    <w:rsid w:val="00A83FF5"/>
    <w:rsid w:val="00A84450"/>
    <w:rsid w:val="00A85911"/>
    <w:rsid w:val="00AA0044"/>
    <w:rsid w:val="00AA2538"/>
    <w:rsid w:val="00AA391F"/>
    <w:rsid w:val="00AB5D8F"/>
    <w:rsid w:val="00AB7619"/>
    <w:rsid w:val="00AC49ED"/>
    <w:rsid w:val="00AD5F6F"/>
    <w:rsid w:val="00AF0516"/>
    <w:rsid w:val="00AF6549"/>
    <w:rsid w:val="00B04C4C"/>
    <w:rsid w:val="00B15694"/>
    <w:rsid w:val="00B27161"/>
    <w:rsid w:val="00B303FA"/>
    <w:rsid w:val="00B37695"/>
    <w:rsid w:val="00B45152"/>
    <w:rsid w:val="00B46BCB"/>
    <w:rsid w:val="00B738EA"/>
    <w:rsid w:val="00B77E7F"/>
    <w:rsid w:val="00B80475"/>
    <w:rsid w:val="00B863AD"/>
    <w:rsid w:val="00B868AF"/>
    <w:rsid w:val="00BA50C6"/>
    <w:rsid w:val="00BA5849"/>
    <w:rsid w:val="00BC250E"/>
    <w:rsid w:val="00BC4F68"/>
    <w:rsid w:val="00BC50A1"/>
    <w:rsid w:val="00BC78F8"/>
    <w:rsid w:val="00BD3324"/>
    <w:rsid w:val="00BD5B4F"/>
    <w:rsid w:val="00BE1534"/>
    <w:rsid w:val="00BF25C3"/>
    <w:rsid w:val="00BF48B2"/>
    <w:rsid w:val="00BF60BE"/>
    <w:rsid w:val="00BF775E"/>
    <w:rsid w:val="00C05B36"/>
    <w:rsid w:val="00C11F21"/>
    <w:rsid w:val="00C136AF"/>
    <w:rsid w:val="00C21FFA"/>
    <w:rsid w:val="00C257F6"/>
    <w:rsid w:val="00C26C33"/>
    <w:rsid w:val="00C32D18"/>
    <w:rsid w:val="00C33152"/>
    <w:rsid w:val="00C407D0"/>
    <w:rsid w:val="00C50838"/>
    <w:rsid w:val="00C726FA"/>
    <w:rsid w:val="00C73DD3"/>
    <w:rsid w:val="00C827A0"/>
    <w:rsid w:val="00C9207C"/>
    <w:rsid w:val="00C95266"/>
    <w:rsid w:val="00CA0DA8"/>
    <w:rsid w:val="00CA7FAB"/>
    <w:rsid w:val="00CB14A2"/>
    <w:rsid w:val="00CC59B0"/>
    <w:rsid w:val="00CE1408"/>
    <w:rsid w:val="00CE66F3"/>
    <w:rsid w:val="00CF2A2A"/>
    <w:rsid w:val="00CF4E9A"/>
    <w:rsid w:val="00D00A33"/>
    <w:rsid w:val="00D03C25"/>
    <w:rsid w:val="00D07D77"/>
    <w:rsid w:val="00D370F0"/>
    <w:rsid w:val="00D45A56"/>
    <w:rsid w:val="00D45E13"/>
    <w:rsid w:val="00D6047E"/>
    <w:rsid w:val="00D61516"/>
    <w:rsid w:val="00D73218"/>
    <w:rsid w:val="00D77500"/>
    <w:rsid w:val="00D81E6B"/>
    <w:rsid w:val="00D84F45"/>
    <w:rsid w:val="00D92D67"/>
    <w:rsid w:val="00DA169E"/>
    <w:rsid w:val="00DB3232"/>
    <w:rsid w:val="00DC404D"/>
    <w:rsid w:val="00DD1856"/>
    <w:rsid w:val="00DD1B0E"/>
    <w:rsid w:val="00DD3C34"/>
    <w:rsid w:val="00DE1F84"/>
    <w:rsid w:val="00DE473D"/>
    <w:rsid w:val="00E036D1"/>
    <w:rsid w:val="00E07886"/>
    <w:rsid w:val="00E33CA3"/>
    <w:rsid w:val="00E41394"/>
    <w:rsid w:val="00E50682"/>
    <w:rsid w:val="00E575FD"/>
    <w:rsid w:val="00E63CEC"/>
    <w:rsid w:val="00E716AA"/>
    <w:rsid w:val="00E76CC5"/>
    <w:rsid w:val="00E86048"/>
    <w:rsid w:val="00E95EAD"/>
    <w:rsid w:val="00EB23AB"/>
    <w:rsid w:val="00EB640B"/>
    <w:rsid w:val="00EC3848"/>
    <w:rsid w:val="00ED4EA2"/>
    <w:rsid w:val="00EE4986"/>
    <w:rsid w:val="00EF015D"/>
    <w:rsid w:val="00EF101B"/>
    <w:rsid w:val="00EF2FD4"/>
    <w:rsid w:val="00EF5AFA"/>
    <w:rsid w:val="00EF66CF"/>
    <w:rsid w:val="00F0664E"/>
    <w:rsid w:val="00F36CEC"/>
    <w:rsid w:val="00F54580"/>
    <w:rsid w:val="00F56038"/>
    <w:rsid w:val="00F7357C"/>
    <w:rsid w:val="00F77D02"/>
    <w:rsid w:val="00F93D7D"/>
    <w:rsid w:val="00FA081E"/>
    <w:rsid w:val="00FA2AB4"/>
    <w:rsid w:val="00FA5E83"/>
    <w:rsid w:val="00FB61E5"/>
    <w:rsid w:val="00FD3FF1"/>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B732F322-AB88-4DAF-82E2-FABF93D0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856"/>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39</TotalTime>
  <Pages>4</Pages>
  <Words>1399</Words>
  <Characters>7979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5</cp:revision>
  <dcterms:created xsi:type="dcterms:W3CDTF">2024-08-08T14:21:00Z</dcterms:created>
  <dcterms:modified xsi:type="dcterms:W3CDTF">2024-08-09T10:53:00Z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